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77A2" w14:textId="77777777" w:rsidR="00BF6B07" w:rsidRPr="003560BD" w:rsidRDefault="00765C44" w:rsidP="004E3357">
      <w:pPr>
        <w:pStyle w:val="TOC1"/>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14:anchorId="75EF72A4" wp14:editId="7E0DF203">
            <wp:extent cx="1257300" cy="828675"/>
            <wp:effectExtent l="0" t="0" r="0" b="9525"/>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14:paraId="1F0C4224" w14:textId="77777777" w:rsidR="00BF6B07" w:rsidRPr="003560BD" w:rsidRDefault="00BF6B07">
      <w:pPr>
        <w:pStyle w:val="Heading8"/>
        <w:rPr>
          <w:rFonts w:ascii="Arial" w:hAnsi="Arial" w:cs="Arial"/>
          <w:sz w:val="22"/>
          <w:szCs w:val="22"/>
        </w:rPr>
      </w:pPr>
    </w:p>
    <w:p w14:paraId="34523313" w14:textId="77777777" w:rsidR="00BF6B07" w:rsidRPr="003560BD" w:rsidRDefault="00BF6B07">
      <w:pPr>
        <w:pStyle w:val="TOC1"/>
        <w:rPr>
          <w:rFonts w:ascii="Arial" w:hAnsi="Arial" w:cs="Arial"/>
          <w:sz w:val="22"/>
          <w:szCs w:val="22"/>
        </w:rPr>
      </w:pPr>
    </w:p>
    <w:p w14:paraId="507E2B21" w14:textId="77777777"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F91FD7">
        <w:rPr>
          <w:rFonts w:ascii="Arial" w:hAnsi="Arial" w:cs="Arial"/>
          <w:b/>
          <w:bCs/>
          <w:sz w:val="44"/>
          <w:szCs w:val="44"/>
        </w:rPr>
        <w:fldChar w:fldCharType="begin"/>
      </w:r>
      <w:r w:rsidRPr="00F91FD7">
        <w:rPr>
          <w:rFonts w:ascii="Arial" w:hAnsi="Arial" w:cs="Arial"/>
          <w:b/>
          <w:bCs/>
          <w:sz w:val="44"/>
          <w:szCs w:val="44"/>
        </w:rPr>
        <w:instrText xml:space="preserve"> ASK RFP "Enter the RFP Number" \* MERGEFORMAT </w:instrText>
      </w:r>
      <w:r w:rsidRPr="00F91FD7">
        <w:rPr>
          <w:rFonts w:ascii="Arial" w:hAnsi="Arial" w:cs="Arial"/>
          <w:b/>
          <w:bCs/>
          <w:sz w:val="44"/>
          <w:szCs w:val="44"/>
        </w:rPr>
        <w:fldChar w:fldCharType="separate"/>
      </w:r>
      <w:bookmarkStart w:id="1" w:name="RFP"/>
      <w:r w:rsidR="002B69E0" w:rsidRPr="00F91FD7">
        <w:rPr>
          <w:rFonts w:ascii="Arial" w:hAnsi="Arial" w:cs="Arial"/>
          <w:b/>
          <w:bCs/>
          <w:sz w:val="44"/>
          <w:szCs w:val="44"/>
        </w:rPr>
        <w:t>3935</w:t>
      </w:r>
      <w:bookmarkEnd w:id="1"/>
      <w:r w:rsidRPr="00F91FD7">
        <w:rPr>
          <w:rFonts w:ascii="Arial" w:hAnsi="Arial" w:cs="Arial"/>
          <w:b/>
          <w:bCs/>
          <w:sz w:val="44"/>
          <w:szCs w:val="44"/>
        </w:rPr>
        <w:fldChar w:fldCharType="end"/>
      </w:r>
      <w:r w:rsidR="005F5009">
        <w:rPr>
          <w:rFonts w:ascii="Arial" w:hAnsi="Arial" w:cs="Arial"/>
          <w:b/>
          <w:bCs/>
          <w:sz w:val="44"/>
          <w:szCs w:val="44"/>
        </w:rPr>
        <w:t>3990</w:t>
      </w:r>
    </w:p>
    <w:p w14:paraId="134978EB" w14:textId="77777777" w:rsidR="00BF6B07" w:rsidRPr="003560BD" w:rsidRDefault="00BF6B07">
      <w:pPr>
        <w:pBdr>
          <w:bottom w:val="triple" w:sz="4" w:space="1" w:color="auto"/>
        </w:pBdr>
        <w:rPr>
          <w:rFonts w:ascii="Arial" w:hAnsi="Arial" w:cs="Arial"/>
          <w:sz w:val="22"/>
          <w:szCs w:val="22"/>
        </w:rPr>
      </w:pPr>
    </w:p>
    <w:p w14:paraId="04B08061" w14:textId="77777777" w:rsidR="00BF6B07" w:rsidRPr="003560BD" w:rsidRDefault="00BF6B07">
      <w:pPr>
        <w:rPr>
          <w:rFonts w:ascii="Arial" w:hAnsi="Arial" w:cs="Arial"/>
          <w:sz w:val="22"/>
          <w:szCs w:val="22"/>
        </w:rPr>
      </w:pPr>
    </w:p>
    <w:p w14:paraId="0239B4C7" w14:textId="5798B359" w:rsidR="00BF6B07" w:rsidRPr="00037393"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004A01A0" w:rsidRPr="001467A8">
        <w:rPr>
          <w:rFonts w:ascii="Arial" w:hAnsi="Arial" w:cs="Arial"/>
          <w:bCs/>
          <w:sz w:val="22"/>
          <w:szCs w:val="22"/>
          <w:highlight w:val="yellow"/>
        </w:rPr>
        <w:fldChar w:fldCharType="begin"/>
      </w:r>
      <w:r w:rsidR="004A01A0" w:rsidRPr="001467A8">
        <w:rPr>
          <w:rFonts w:ascii="Arial" w:hAnsi="Arial" w:cs="Arial"/>
          <w:bCs/>
          <w:sz w:val="22"/>
          <w:szCs w:val="22"/>
          <w:highlight w:val="yellow"/>
        </w:rPr>
        <w:instrText xml:space="preserve"> ASK Date "Enter the Proposal due date (Ex. February 21, 2004)" </w:instrText>
      </w:r>
      <w:r w:rsidR="004A01A0" w:rsidRPr="001467A8">
        <w:rPr>
          <w:rFonts w:ascii="Arial" w:hAnsi="Arial" w:cs="Arial"/>
          <w:bCs/>
          <w:sz w:val="22"/>
          <w:szCs w:val="22"/>
          <w:highlight w:val="yellow"/>
        </w:rPr>
        <w:fldChar w:fldCharType="separate"/>
      </w:r>
      <w:r w:rsidR="004A01A0" w:rsidRPr="001467A8">
        <w:rPr>
          <w:rFonts w:ascii="Arial" w:hAnsi="Arial" w:cs="Arial"/>
          <w:bCs/>
          <w:sz w:val="22"/>
          <w:szCs w:val="22"/>
          <w:highlight w:val="yellow"/>
        </w:rPr>
        <w:t>August 2016</w:t>
      </w:r>
      <w:r w:rsidR="004A01A0" w:rsidRPr="001467A8">
        <w:rPr>
          <w:rFonts w:ascii="Arial" w:hAnsi="Arial" w:cs="Arial"/>
          <w:bCs/>
          <w:sz w:val="22"/>
          <w:szCs w:val="22"/>
          <w:highlight w:val="yellow"/>
        </w:rPr>
        <w:fldChar w:fldCharType="end"/>
      </w:r>
      <w:r w:rsidR="007347BF">
        <w:rPr>
          <w:rFonts w:ascii="Arial" w:hAnsi="Arial" w:cs="Arial"/>
          <w:bCs/>
          <w:sz w:val="22"/>
          <w:szCs w:val="22"/>
        </w:rPr>
        <w:t>August 8</w:t>
      </w:r>
      <w:r w:rsidR="001467A8">
        <w:rPr>
          <w:rFonts w:ascii="Arial" w:hAnsi="Arial" w:cs="Arial"/>
          <w:bCs/>
          <w:sz w:val="22"/>
          <w:szCs w:val="22"/>
        </w:rPr>
        <w:t>, 2017</w:t>
      </w:r>
      <w:r w:rsidRPr="00037393">
        <w:rPr>
          <w:rFonts w:ascii="Arial" w:hAnsi="Arial" w:cs="Arial"/>
          <w:bCs/>
          <w:sz w:val="22"/>
          <w:szCs w:val="22"/>
        </w:rPr>
        <w:t xml:space="preserve"> @ 3:00 p.m.</w:t>
      </w:r>
      <w:r w:rsidRPr="00037393">
        <w:rPr>
          <w:rFonts w:ascii="Arial" w:hAnsi="Arial" w:cs="Arial"/>
          <w:sz w:val="22"/>
          <w:szCs w:val="22"/>
        </w:rPr>
        <w:t xml:space="preserve"> </w:t>
      </w:r>
      <w:r w:rsidR="00351D1F" w:rsidRPr="00037393">
        <w:rPr>
          <w:rFonts w:ascii="Arial" w:hAnsi="Arial" w:cs="Arial"/>
          <w:sz w:val="22"/>
          <w:szCs w:val="22"/>
        </w:rPr>
        <w:t>Central</w:t>
      </w:r>
      <w:r w:rsidRPr="00037393">
        <w:rPr>
          <w:rFonts w:ascii="Arial" w:hAnsi="Arial" w:cs="Arial"/>
          <w:sz w:val="22"/>
          <w:szCs w:val="22"/>
        </w:rPr>
        <w:t xml:space="preserve"> Time for the acquisition of the products/services described below for </w:t>
      </w:r>
      <w:r w:rsidRPr="00037393">
        <w:rPr>
          <w:rFonts w:ascii="Arial" w:hAnsi="Arial" w:cs="Arial"/>
          <w:sz w:val="22"/>
          <w:szCs w:val="22"/>
        </w:rPr>
        <w:fldChar w:fldCharType="begin"/>
      </w:r>
      <w:r w:rsidRPr="00037393">
        <w:rPr>
          <w:rFonts w:ascii="Arial" w:hAnsi="Arial" w:cs="Arial"/>
          <w:sz w:val="22"/>
          <w:szCs w:val="22"/>
        </w:rPr>
        <w:instrText xml:space="preserve"> ASK Agency "Enter the Agency Name (Ex. Mississippi Department of Health)" \* MERGEFORMAT </w:instrText>
      </w:r>
      <w:r w:rsidRPr="00037393">
        <w:rPr>
          <w:rFonts w:ascii="Arial" w:hAnsi="Arial" w:cs="Arial"/>
          <w:sz w:val="22"/>
          <w:szCs w:val="22"/>
        </w:rPr>
        <w:fldChar w:fldCharType="separate"/>
      </w:r>
      <w:bookmarkStart w:id="2" w:name="Agency"/>
      <w:r w:rsidR="002B69E0" w:rsidRPr="00037393">
        <w:rPr>
          <w:rFonts w:ascii="Arial" w:hAnsi="Arial" w:cs="Arial"/>
          <w:sz w:val="22"/>
          <w:szCs w:val="22"/>
        </w:rPr>
        <w:t>Mississippi Department of Wildlife, Fisheries, and Parks</w:t>
      </w:r>
      <w:bookmarkEnd w:id="2"/>
      <w:r w:rsidRPr="00037393">
        <w:rPr>
          <w:rFonts w:ascii="Arial" w:hAnsi="Arial" w:cs="Arial"/>
          <w:sz w:val="22"/>
          <w:szCs w:val="22"/>
        </w:rPr>
        <w:fldChar w:fldCharType="end"/>
      </w:r>
      <w:r w:rsidRPr="00037393">
        <w:rPr>
          <w:rFonts w:ascii="Arial" w:hAnsi="Arial" w:cs="Arial"/>
          <w:sz w:val="22"/>
          <w:szCs w:val="22"/>
        </w:rPr>
        <w:fldChar w:fldCharType="begin"/>
      </w:r>
      <w:r w:rsidRPr="00037393">
        <w:rPr>
          <w:rFonts w:ascii="Arial" w:hAnsi="Arial" w:cs="Arial"/>
          <w:sz w:val="22"/>
          <w:szCs w:val="22"/>
        </w:rPr>
        <w:instrText xml:space="preserve"> REF Agency  \* CHARFORMAT</w:instrText>
      </w:r>
      <w:r w:rsidR="00C54C86" w:rsidRPr="00037393">
        <w:rPr>
          <w:rFonts w:ascii="Arial" w:hAnsi="Arial" w:cs="Arial"/>
          <w:sz w:val="22"/>
          <w:szCs w:val="22"/>
        </w:rPr>
        <w:instrText xml:space="preserve"> </w:instrText>
      </w:r>
      <w:r w:rsidR="00774B6E" w:rsidRPr="00037393">
        <w:rPr>
          <w:rFonts w:ascii="Arial" w:hAnsi="Arial" w:cs="Arial"/>
          <w:sz w:val="22"/>
          <w:szCs w:val="22"/>
        </w:rPr>
        <w:instrText xml:space="preserve"> \* MERGEFORMAT </w:instrText>
      </w:r>
      <w:r w:rsidRPr="00037393">
        <w:rPr>
          <w:rFonts w:ascii="Arial" w:hAnsi="Arial" w:cs="Arial"/>
          <w:sz w:val="22"/>
          <w:szCs w:val="22"/>
        </w:rPr>
        <w:fldChar w:fldCharType="separate"/>
      </w:r>
      <w:r w:rsidR="00974D97" w:rsidRPr="00974D97">
        <w:rPr>
          <w:rFonts w:ascii="Arial" w:hAnsi="Arial" w:cs="Arial"/>
          <w:bCs/>
          <w:sz w:val="22"/>
          <w:szCs w:val="22"/>
        </w:rPr>
        <w:t>Mississippi Department of Wildlife, Fisheries,</w:t>
      </w:r>
      <w:r w:rsidR="00974D97" w:rsidRPr="00037393">
        <w:rPr>
          <w:rFonts w:ascii="Arial" w:hAnsi="Arial" w:cs="Arial"/>
          <w:sz w:val="22"/>
          <w:szCs w:val="22"/>
        </w:rPr>
        <w:t xml:space="preserve"> and Parks</w:t>
      </w:r>
      <w:r w:rsidRPr="00037393">
        <w:rPr>
          <w:rFonts w:ascii="Arial" w:hAnsi="Arial" w:cs="Arial"/>
          <w:sz w:val="22"/>
          <w:szCs w:val="22"/>
        </w:rPr>
        <w:fldChar w:fldCharType="end"/>
      </w:r>
      <w:r w:rsidRPr="00037393">
        <w:rPr>
          <w:rFonts w:ascii="Arial" w:hAnsi="Arial" w:cs="Arial"/>
          <w:sz w:val="22"/>
          <w:szCs w:val="22"/>
        </w:rPr>
        <w:fldChar w:fldCharType="begin"/>
      </w:r>
      <w:r w:rsidRPr="00037393">
        <w:rPr>
          <w:rFonts w:ascii="Arial" w:hAnsi="Arial" w:cs="Arial"/>
          <w:sz w:val="22"/>
          <w:szCs w:val="22"/>
        </w:rPr>
        <w:instrText xml:space="preserve"> ASK ProjNum "Enter the Project Number (Ex. 35968)" </w:instrText>
      </w:r>
      <w:r w:rsidRPr="00037393">
        <w:rPr>
          <w:rFonts w:ascii="Arial" w:hAnsi="Arial" w:cs="Arial"/>
          <w:sz w:val="22"/>
          <w:szCs w:val="22"/>
        </w:rPr>
        <w:fldChar w:fldCharType="separate"/>
      </w:r>
      <w:bookmarkStart w:id="3" w:name="ProjNum"/>
      <w:r w:rsidR="002B69E0" w:rsidRPr="00037393">
        <w:rPr>
          <w:rFonts w:ascii="Arial" w:hAnsi="Arial" w:cs="Arial"/>
          <w:sz w:val="22"/>
          <w:szCs w:val="22"/>
        </w:rPr>
        <w:t>42752</w:t>
      </w:r>
      <w:bookmarkEnd w:id="3"/>
      <w:r w:rsidRPr="00037393">
        <w:rPr>
          <w:rFonts w:ascii="Arial" w:hAnsi="Arial" w:cs="Arial"/>
          <w:sz w:val="22"/>
          <w:szCs w:val="22"/>
        </w:rPr>
        <w:fldChar w:fldCharType="end"/>
      </w:r>
      <w:r w:rsidRPr="00037393">
        <w:rPr>
          <w:rFonts w:ascii="Arial" w:hAnsi="Arial" w:cs="Arial"/>
          <w:sz w:val="22"/>
          <w:szCs w:val="22"/>
        </w:rPr>
        <w:t>.</w:t>
      </w:r>
    </w:p>
    <w:p w14:paraId="7AD8D7DC" w14:textId="77777777" w:rsidR="00BF6B07" w:rsidRPr="00037393" w:rsidRDefault="00BF6B07">
      <w:pPr>
        <w:rPr>
          <w:rFonts w:ascii="Arial" w:hAnsi="Arial" w:cs="Arial"/>
          <w:sz w:val="22"/>
          <w:szCs w:val="22"/>
        </w:rPr>
      </w:pPr>
    </w:p>
    <w:p w14:paraId="6BDDFB26" w14:textId="4F77855C" w:rsidR="00BF6B07" w:rsidRPr="00037393"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037393">
        <w:rPr>
          <w:rFonts w:ascii="Arial" w:hAnsi="Arial" w:cs="Arial"/>
          <w:sz w:val="22"/>
          <w:szCs w:val="22"/>
        </w:rPr>
        <w:fldChar w:fldCharType="begin"/>
      </w:r>
      <w:r w:rsidRPr="00037393">
        <w:rPr>
          <w:rFonts w:ascii="Arial" w:hAnsi="Arial" w:cs="Arial"/>
          <w:sz w:val="22"/>
          <w:szCs w:val="22"/>
        </w:rPr>
        <w:instrText xml:space="preserve"> ASK Desc "Enter the description of the products/services requested" \* MERGEFORMAT </w:instrText>
      </w:r>
      <w:r w:rsidRPr="00037393">
        <w:rPr>
          <w:rFonts w:ascii="Arial" w:hAnsi="Arial" w:cs="Arial"/>
          <w:sz w:val="22"/>
          <w:szCs w:val="22"/>
        </w:rPr>
        <w:fldChar w:fldCharType="separate"/>
      </w:r>
      <w:bookmarkStart w:id="4" w:name="Desc"/>
      <w:r w:rsidR="002B69E0" w:rsidRPr="00037393">
        <w:rPr>
          <w:rFonts w:ascii="Arial" w:hAnsi="Arial" w:cs="Arial"/>
          <w:sz w:val="22"/>
          <w:szCs w:val="22"/>
        </w:rPr>
        <w:t>Golf Management Application</w:t>
      </w:r>
      <w:bookmarkEnd w:id="4"/>
      <w:r w:rsidRPr="00037393">
        <w:rPr>
          <w:rFonts w:ascii="Arial" w:hAnsi="Arial" w:cs="Arial"/>
          <w:sz w:val="22"/>
          <w:szCs w:val="22"/>
        </w:rPr>
        <w:fldChar w:fldCharType="end"/>
      </w:r>
      <w:r w:rsidRPr="00037393">
        <w:rPr>
          <w:rFonts w:ascii="Arial" w:hAnsi="Arial" w:cs="Arial"/>
          <w:sz w:val="22"/>
          <w:szCs w:val="22"/>
        </w:rPr>
        <w:fldChar w:fldCharType="begin"/>
      </w:r>
      <w:r w:rsidRPr="00037393">
        <w:rPr>
          <w:rFonts w:ascii="Arial" w:hAnsi="Arial" w:cs="Arial"/>
          <w:sz w:val="22"/>
          <w:szCs w:val="22"/>
        </w:rPr>
        <w:instrText xml:space="preserve"> REF Desc  \* CHARFORMAT </w:instrText>
      </w:r>
      <w:r w:rsidR="00774B6E" w:rsidRPr="00037393">
        <w:rPr>
          <w:rFonts w:ascii="Arial" w:hAnsi="Arial" w:cs="Arial"/>
          <w:sz w:val="22"/>
          <w:szCs w:val="22"/>
        </w:rPr>
        <w:instrText xml:space="preserve"> \* MERGEFORMAT </w:instrText>
      </w:r>
      <w:r w:rsidRPr="00037393">
        <w:rPr>
          <w:rFonts w:ascii="Arial" w:hAnsi="Arial" w:cs="Arial"/>
          <w:sz w:val="22"/>
          <w:szCs w:val="22"/>
        </w:rPr>
        <w:fldChar w:fldCharType="separate"/>
      </w:r>
      <w:r w:rsidR="00974D97" w:rsidRPr="00974D97">
        <w:rPr>
          <w:rFonts w:ascii="Arial" w:hAnsi="Arial" w:cs="Arial"/>
          <w:bCs/>
          <w:sz w:val="22"/>
          <w:szCs w:val="22"/>
        </w:rPr>
        <w:t>Golf Management Application</w:t>
      </w:r>
      <w:r w:rsidRPr="00037393">
        <w:rPr>
          <w:rFonts w:ascii="Arial" w:hAnsi="Arial" w:cs="Arial"/>
          <w:sz w:val="22"/>
          <w:szCs w:val="22"/>
        </w:rPr>
        <w:fldChar w:fldCharType="end"/>
      </w:r>
    </w:p>
    <w:p w14:paraId="3DF8C4AF" w14:textId="77777777" w:rsidR="00BF6B07" w:rsidRPr="00037393"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0B9E4C5D" w14:textId="77777777" w:rsidR="00BF6B07" w:rsidRPr="003560BD" w:rsidRDefault="00BF6B07">
      <w:pPr>
        <w:pBdr>
          <w:bottom w:val="triple" w:sz="4" w:space="1" w:color="auto"/>
        </w:pBdr>
        <w:rPr>
          <w:rFonts w:ascii="Arial" w:hAnsi="Arial" w:cs="Arial"/>
          <w:sz w:val="22"/>
          <w:szCs w:val="22"/>
        </w:rPr>
      </w:pPr>
    </w:p>
    <w:p w14:paraId="52E436A5" w14:textId="77777777" w:rsidR="0008005A" w:rsidRDefault="0008005A" w:rsidP="00BF6B07">
      <w:pPr>
        <w:spacing w:before="60" w:after="60"/>
        <w:jc w:val="center"/>
        <w:rPr>
          <w:rFonts w:ascii="Arial" w:hAnsi="Arial" w:cs="Arial"/>
          <w:b/>
          <w:bCs/>
          <w:sz w:val="22"/>
          <w:szCs w:val="22"/>
        </w:rPr>
      </w:pPr>
    </w:p>
    <w:p w14:paraId="18112DE3"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661A1E0D" w14:textId="77777777" w:rsidR="00BF6B07" w:rsidRPr="003560BD" w:rsidRDefault="004A01A0">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Michelle Smith</w:t>
      </w:r>
    </w:p>
    <w:p w14:paraId="12FFC89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9BF29F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5B9ABCB"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2F00541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3AA73C9E"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00C64F08">
        <w:rPr>
          <w:rFonts w:ascii="Arial" w:hAnsi="Arial" w:cs="Arial"/>
          <w:sz w:val="22"/>
          <w:szCs w:val="22"/>
        </w:rPr>
        <w:t>8057</w:t>
      </w:r>
      <w:r w:rsidR="004A01A0" w:rsidRPr="00F91FD7">
        <w:rPr>
          <w:rFonts w:ascii="Arial" w:hAnsi="Arial" w:cs="Arial"/>
          <w:sz w:val="22"/>
          <w:szCs w:val="22"/>
        </w:rPr>
        <w:fldChar w:fldCharType="begin"/>
      </w:r>
      <w:r w:rsidR="004A01A0" w:rsidRPr="00F91FD7">
        <w:rPr>
          <w:rFonts w:ascii="Arial" w:hAnsi="Arial" w:cs="Arial"/>
          <w:sz w:val="22"/>
          <w:szCs w:val="22"/>
        </w:rPr>
        <w:instrText xml:space="preserve"> ASK Phone "Enter the Last 4 digits of the Technology Consultant's telephone number (Ex. 2392)" \* MERGEFORMAT </w:instrText>
      </w:r>
      <w:r w:rsidR="004A01A0" w:rsidRPr="00F91FD7">
        <w:rPr>
          <w:rFonts w:ascii="Arial" w:hAnsi="Arial" w:cs="Arial"/>
          <w:sz w:val="22"/>
          <w:szCs w:val="22"/>
        </w:rPr>
        <w:fldChar w:fldCharType="separate"/>
      </w:r>
      <w:r w:rsidR="004A01A0" w:rsidRPr="00F91FD7">
        <w:rPr>
          <w:rFonts w:ascii="Arial" w:hAnsi="Arial" w:cs="Arial"/>
          <w:sz w:val="22"/>
          <w:szCs w:val="22"/>
        </w:rPr>
        <w:t>8114</w:t>
      </w:r>
      <w:r w:rsidR="004A01A0" w:rsidRPr="00F91FD7">
        <w:rPr>
          <w:rFonts w:ascii="Arial" w:hAnsi="Arial" w:cs="Arial"/>
          <w:sz w:val="22"/>
          <w:szCs w:val="22"/>
        </w:rPr>
        <w:fldChar w:fldCharType="end"/>
      </w:r>
    </w:p>
    <w:p w14:paraId="3CCD44B4" w14:textId="77777777" w:rsidR="00BF6B07" w:rsidRPr="003560BD" w:rsidRDefault="004A01A0">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Michelle.Smith</w:t>
      </w:r>
      <w:r w:rsidR="00BF6B07" w:rsidRPr="00F91FD7">
        <w:rPr>
          <w:rFonts w:ascii="Arial" w:hAnsi="Arial" w:cs="Arial"/>
          <w:sz w:val="22"/>
          <w:szCs w:val="22"/>
        </w:rPr>
        <w:fldChar w:fldCharType="begin"/>
      </w:r>
      <w:r w:rsidR="00BF6B07" w:rsidRPr="00F91FD7">
        <w:rPr>
          <w:rFonts w:ascii="Arial" w:hAnsi="Arial" w:cs="Arial"/>
          <w:sz w:val="22"/>
          <w:szCs w:val="22"/>
        </w:rPr>
        <w:instrText xml:space="preserve"> ASK Email "Enter the first part of the Technology Consultant's email address (Ex. Tina.Wilkins)" \* MERGEFORMAT </w:instrText>
      </w:r>
      <w:r w:rsidR="00BF6B07" w:rsidRPr="00F91FD7">
        <w:rPr>
          <w:rFonts w:ascii="Arial" w:hAnsi="Arial" w:cs="Arial"/>
          <w:sz w:val="22"/>
          <w:szCs w:val="22"/>
        </w:rPr>
        <w:fldChar w:fldCharType="separate"/>
      </w:r>
      <w:bookmarkStart w:id="5" w:name="Email"/>
      <w:r w:rsidR="002B69E0" w:rsidRPr="00F91FD7">
        <w:rPr>
          <w:rFonts w:ascii="Arial" w:hAnsi="Arial" w:cs="Arial"/>
          <w:sz w:val="22"/>
          <w:szCs w:val="22"/>
        </w:rPr>
        <w:t>Donna.Hamilton</w:t>
      </w:r>
      <w:bookmarkEnd w:id="5"/>
      <w:r w:rsidR="00BF6B07" w:rsidRPr="00F91FD7">
        <w:rPr>
          <w:rFonts w:ascii="Arial" w:hAnsi="Arial" w:cs="Arial"/>
          <w:sz w:val="22"/>
          <w:szCs w:val="22"/>
        </w:rPr>
        <w:fldChar w:fldCharType="end"/>
      </w:r>
      <w:r w:rsidR="00BF6B07" w:rsidRPr="003560BD">
        <w:rPr>
          <w:rFonts w:ascii="Arial" w:hAnsi="Arial" w:cs="Arial"/>
          <w:sz w:val="22"/>
          <w:szCs w:val="22"/>
        </w:rPr>
        <w:t>@its.ms.gov</w:t>
      </w:r>
    </w:p>
    <w:p w14:paraId="29D175EC"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63A5B1FA"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66A9BC7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005F5009">
        <w:rPr>
          <w:rFonts w:ascii="Arial" w:hAnsi="Arial" w:cs="Arial"/>
          <w:iCs/>
          <w:sz w:val="22"/>
          <w:szCs w:val="22"/>
        </w:rPr>
        <w:t>3990</w:t>
      </w:r>
    </w:p>
    <w:p w14:paraId="18AF98EB" w14:textId="77777777" w:rsidR="00BF6B07" w:rsidRPr="003560BD" w:rsidRDefault="004A01A0">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 xml:space="preserve">Due </w:t>
      </w:r>
      <w:r w:rsidR="007347BF">
        <w:rPr>
          <w:rFonts w:ascii="Arial" w:hAnsi="Arial" w:cs="Arial"/>
          <w:sz w:val="22"/>
          <w:szCs w:val="22"/>
        </w:rPr>
        <w:t>August 8</w:t>
      </w:r>
      <w:r w:rsidR="001467A8">
        <w:rPr>
          <w:rFonts w:ascii="Arial" w:hAnsi="Arial" w:cs="Arial"/>
          <w:sz w:val="22"/>
          <w:szCs w:val="22"/>
        </w:rPr>
        <w:t>, 2017</w:t>
      </w:r>
      <w:r>
        <w:rPr>
          <w:rFonts w:ascii="Arial" w:hAnsi="Arial" w:cs="Arial"/>
          <w:sz w:val="22"/>
          <w:szCs w:val="22"/>
        </w:rPr>
        <w:t xml:space="preserve"> </w:t>
      </w:r>
      <w:r w:rsidR="00BF6B07" w:rsidRPr="003560BD">
        <w:rPr>
          <w:rFonts w:ascii="Arial" w:hAnsi="Arial" w:cs="Arial"/>
          <w:sz w:val="22"/>
          <w:szCs w:val="22"/>
        </w:rPr>
        <w:t>@ 3:00 p.m.,</w:t>
      </w:r>
    </w:p>
    <w:p w14:paraId="238A1CA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4A01A0">
        <w:rPr>
          <w:rFonts w:ascii="Arial" w:hAnsi="Arial" w:cs="Arial"/>
          <w:sz w:val="22"/>
          <w:szCs w:val="22"/>
        </w:rPr>
        <w:t>Michelle Smith</w:t>
      </w:r>
    </w:p>
    <w:p w14:paraId="04791B3E" w14:textId="77777777" w:rsidR="0008005A" w:rsidRDefault="0008005A" w:rsidP="00BF6B07">
      <w:pPr>
        <w:spacing w:before="300"/>
        <w:jc w:val="center"/>
        <w:rPr>
          <w:rFonts w:ascii="Arial" w:hAnsi="Arial" w:cs="Arial"/>
          <w:sz w:val="22"/>
          <w:szCs w:val="22"/>
        </w:rPr>
      </w:pPr>
    </w:p>
    <w:p w14:paraId="3516C954"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46367102"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319A3D3C"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052BE2AB"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7FA3729D" w14:textId="77777777" w:rsidR="00BF6B07" w:rsidRPr="003560BD" w:rsidRDefault="00BF6B07">
      <w:pPr>
        <w:rPr>
          <w:rFonts w:ascii="Arial" w:hAnsi="Arial" w:cs="Arial"/>
          <w:b/>
          <w:bCs/>
          <w:sz w:val="22"/>
          <w:szCs w:val="22"/>
        </w:rPr>
      </w:pPr>
    </w:p>
    <w:p w14:paraId="3C70EF97" w14:textId="77777777" w:rsidR="00BF6B07" w:rsidRPr="003560BD" w:rsidRDefault="00BF6B07">
      <w:pPr>
        <w:jc w:val="center"/>
        <w:rPr>
          <w:rFonts w:ascii="Arial" w:hAnsi="Arial" w:cs="Arial"/>
          <w:b/>
          <w:bCs/>
          <w:sz w:val="22"/>
          <w:szCs w:val="22"/>
        </w:rPr>
      </w:pPr>
    </w:p>
    <w:p w14:paraId="53A445C0"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14:paraId="6014C50B" w14:textId="77777777" w:rsidR="00BF6B07" w:rsidRPr="003560BD" w:rsidRDefault="00765C4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80A67C7" wp14:editId="423C45E3">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A6E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14:paraId="17D81F39" w14:textId="77777777" w:rsidR="00BF6B07" w:rsidRPr="003560BD" w:rsidRDefault="00BF6B07">
      <w:pPr>
        <w:jc w:val="center"/>
        <w:rPr>
          <w:rFonts w:ascii="Arial" w:hAnsi="Arial" w:cs="Arial"/>
          <w:b/>
          <w:bCs/>
          <w:sz w:val="22"/>
          <w:szCs w:val="22"/>
        </w:rPr>
      </w:pPr>
    </w:p>
    <w:p w14:paraId="59329A9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005F5009">
        <w:rPr>
          <w:rFonts w:ascii="Arial" w:hAnsi="Arial" w:cs="Arial"/>
          <w:sz w:val="22"/>
          <w:szCs w:val="22"/>
        </w:rPr>
        <w:t>3990</w:t>
      </w:r>
      <w:r w:rsidRPr="003560BD">
        <w:rPr>
          <w:rFonts w:ascii="Arial" w:hAnsi="Arial" w:cs="Arial"/>
          <w:sz w:val="22"/>
          <w:szCs w:val="22"/>
        </w:rPr>
        <w:t>.</w:t>
      </w:r>
    </w:p>
    <w:p w14:paraId="05612DE9"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245B8AAC" w14:textId="77777777">
        <w:trPr>
          <w:trHeight w:val="360"/>
        </w:trPr>
        <w:tc>
          <w:tcPr>
            <w:tcW w:w="1008" w:type="dxa"/>
          </w:tcPr>
          <w:p w14:paraId="7C2AE6B5"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4E1AE42" w14:textId="77777777" w:rsidR="00BF6B07" w:rsidRPr="003560BD" w:rsidRDefault="00BF6B07" w:rsidP="0061377C">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00460508">
              <w:rPr>
                <w:rFonts w:ascii="Arial" w:hAnsi="Arial" w:cs="Arial"/>
                <w:sz w:val="22"/>
                <w:szCs w:val="22"/>
              </w:rPr>
              <w:t xml:space="preserve">five (5) identical </w:t>
            </w:r>
            <w:r w:rsidRPr="003560BD">
              <w:rPr>
                <w:rFonts w:ascii="Arial" w:hAnsi="Arial" w:cs="Arial"/>
                <w:sz w:val="22"/>
                <w:szCs w:val="22"/>
              </w:rPr>
              <w:t>copies of the complete proposal. Label the front and spine of the three-ring loose-leaf binder with the Vendor name and RFP number. Include the items listed below inside the binder. Please DO NOT include a copy of the RFP in the binder.</w:t>
            </w:r>
          </w:p>
          <w:p w14:paraId="30E6E13C" w14:textId="77777777" w:rsidR="00BF6B07" w:rsidRPr="003560BD" w:rsidRDefault="00BF6B07">
            <w:pPr>
              <w:ind w:left="360"/>
              <w:rPr>
                <w:rFonts w:ascii="Arial" w:hAnsi="Arial" w:cs="Arial"/>
                <w:sz w:val="22"/>
                <w:szCs w:val="22"/>
              </w:rPr>
            </w:pPr>
          </w:p>
        </w:tc>
      </w:tr>
      <w:tr w:rsidR="00BF6B07" w:rsidRPr="003560BD" w14:paraId="643658B2" w14:textId="77777777">
        <w:tc>
          <w:tcPr>
            <w:tcW w:w="1008" w:type="dxa"/>
          </w:tcPr>
          <w:p w14:paraId="66E3B41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8809465" w14:textId="77777777" w:rsidR="00BF6B07" w:rsidRPr="003560BD" w:rsidRDefault="00BF6B07" w:rsidP="0061377C">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07C9CFD2" w14:textId="77777777" w:rsidR="00BF6B07" w:rsidRPr="003560BD" w:rsidRDefault="00BF6B07">
            <w:pPr>
              <w:ind w:left="360"/>
              <w:rPr>
                <w:rFonts w:ascii="Arial" w:hAnsi="Arial" w:cs="Arial"/>
                <w:sz w:val="22"/>
                <w:szCs w:val="22"/>
              </w:rPr>
            </w:pPr>
          </w:p>
        </w:tc>
      </w:tr>
      <w:tr w:rsidR="00BF6B07" w:rsidRPr="003560BD" w14:paraId="527463D3" w14:textId="77777777">
        <w:tc>
          <w:tcPr>
            <w:tcW w:w="1008" w:type="dxa"/>
          </w:tcPr>
          <w:p w14:paraId="13F5815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C70279F" w14:textId="77777777" w:rsidR="00BF6B07" w:rsidRPr="003560BD" w:rsidRDefault="00BF6B07" w:rsidP="0061377C">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05ACD502"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4CF10811" w14:textId="77777777">
        <w:tc>
          <w:tcPr>
            <w:tcW w:w="1008" w:type="dxa"/>
          </w:tcPr>
          <w:p w14:paraId="5626750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C64BCE1" w14:textId="77777777" w:rsidR="00BF6B07" w:rsidRPr="003560BD" w:rsidRDefault="00BF6B07" w:rsidP="0061377C">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5FAEB8B6" w14:textId="77777777" w:rsidR="00BF6B07" w:rsidRPr="003560BD" w:rsidRDefault="00BF6B07">
            <w:pPr>
              <w:ind w:left="360"/>
              <w:rPr>
                <w:rFonts w:ascii="Arial" w:hAnsi="Arial" w:cs="Arial"/>
                <w:sz w:val="22"/>
                <w:szCs w:val="22"/>
              </w:rPr>
            </w:pPr>
          </w:p>
        </w:tc>
      </w:tr>
      <w:tr w:rsidR="00BF6B07" w:rsidRPr="003560BD" w14:paraId="6707310D" w14:textId="77777777">
        <w:tc>
          <w:tcPr>
            <w:tcW w:w="1008" w:type="dxa"/>
          </w:tcPr>
          <w:p w14:paraId="55CF47DF"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C050BBC" w14:textId="77777777" w:rsidR="00BF6B07" w:rsidRPr="003560BD" w:rsidRDefault="00BF6B07" w:rsidP="0061377C">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89FD6FB" w14:textId="77777777" w:rsidR="00BF6B07" w:rsidRPr="003560BD" w:rsidRDefault="00BF6B07">
            <w:pPr>
              <w:ind w:left="360"/>
              <w:rPr>
                <w:rFonts w:ascii="Arial" w:hAnsi="Arial" w:cs="Arial"/>
                <w:sz w:val="22"/>
                <w:szCs w:val="22"/>
              </w:rPr>
            </w:pPr>
          </w:p>
        </w:tc>
      </w:tr>
      <w:tr w:rsidR="00BF6B07" w:rsidRPr="00F91FD7" w14:paraId="47E359F8" w14:textId="77777777">
        <w:trPr>
          <w:trHeight w:val="523"/>
        </w:trPr>
        <w:tc>
          <w:tcPr>
            <w:tcW w:w="1008" w:type="dxa"/>
          </w:tcPr>
          <w:p w14:paraId="19F19FB5" w14:textId="77777777" w:rsidR="00BF6B07" w:rsidRPr="00F91FD7" w:rsidRDefault="00BF6B07">
            <w:pPr>
              <w:pStyle w:val="StyleTOC112pt"/>
              <w:rPr>
                <w:rFonts w:ascii="Arial" w:hAnsi="Arial" w:cs="Arial"/>
                <w:sz w:val="22"/>
                <w:szCs w:val="22"/>
              </w:rPr>
            </w:pPr>
            <w:r w:rsidRPr="00F91FD7">
              <w:rPr>
                <w:rFonts w:ascii="Arial" w:hAnsi="Arial" w:cs="Arial"/>
                <w:sz w:val="22"/>
                <w:szCs w:val="22"/>
              </w:rPr>
              <w:t>_____</w:t>
            </w:r>
          </w:p>
        </w:tc>
        <w:tc>
          <w:tcPr>
            <w:tcW w:w="8568" w:type="dxa"/>
          </w:tcPr>
          <w:p w14:paraId="6588B061" w14:textId="77777777" w:rsidR="00BF6B07" w:rsidRPr="00F91FD7" w:rsidRDefault="00BF6B07" w:rsidP="0061377C">
            <w:pPr>
              <w:widowControl/>
              <w:numPr>
                <w:ilvl w:val="0"/>
                <w:numId w:val="8"/>
              </w:numPr>
              <w:autoSpaceDE/>
              <w:autoSpaceDN/>
              <w:adjustRightInd/>
              <w:jc w:val="both"/>
              <w:rPr>
                <w:rFonts w:ascii="Arial" w:hAnsi="Arial" w:cs="Arial"/>
                <w:sz w:val="22"/>
                <w:szCs w:val="22"/>
              </w:rPr>
            </w:pPr>
            <w:r w:rsidRPr="00F91FD7">
              <w:rPr>
                <w:rFonts w:ascii="Arial" w:hAnsi="Arial" w:cs="Arial"/>
                <w:sz w:val="22"/>
                <w:szCs w:val="22"/>
              </w:rPr>
              <w:t xml:space="preserve">Point-by-point response to </w:t>
            </w:r>
            <w:r w:rsidRPr="00F91FD7">
              <w:rPr>
                <w:rFonts w:ascii="Arial" w:hAnsi="Arial" w:cs="Arial"/>
                <w:i/>
                <w:sz w:val="22"/>
                <w:szCs w:val="22"/>
              </w:rPr>
              <w:t>Technical Specifications</w:t>
            </w:r>
            <w:r w:rsidRPr="00F91FD7">
              <w:rPr>
                <w:rFonts w:ascii="Arial" w:hAnsi="Arial" w:cs="Arial"/>
                <w:sz w:val="22"/>
                <w:szCs w:val="22"/>
              </w:rPr>
              <w:t xml:space="preserve"> (Section VII)</w:t>
            </w:r>
          </w:p>
        </w:tc>
      </w:tr>
      <w:tr w:rsidR="00BF6B07" w:rsidRPr="00F91FD7" w14:paraId="6F6E4DB8" w14:textId="77777777">
        <w:trPr>
          <w:trHeight w:val="508"/>
        </w:trPr>
        <w:tc>
          <w:tcPr>
            <w:tcW w:w="1008" w:type="dxa"/>
          </w:tcPr>
          <w:p w14:paraId="77FF6C09" w14:textId="77777777" w:rsidR="00BF6B07" w:rsidRPr="00F91FD7" w:rsidRDefault="00BF6B07">
            <w:pPr>
              <w:pStyle w:val="Header"/>
              <w:jc w:val="left"/>
              <w:rPr>
                <w:rFonts w:ascii="Arial" w:hAnsi="Arial" w:cs="Arial"/>
                <w:sz w:val="22"/>
                <w:szCs w:val="22"/>
              </w:rPr>
            </w:pPr>
            <w:r w:rsidRPr="00F91FD7">
              <w:rPr>
                <w:rFonts w:ascii="Arial" w:hAnsi="Arial" w:cs="Arial"/>
                <w:sz w:val="22"/>
                <w:szCs w:val="22"/>
              </w:rPr>
              <w:t>_____</w:t>
            </w:r>
          </w:p>
        </w:tc>
        <w:tc>
          <w:tcPr>
            <w:tcW w:w="8568" w:type="dxa"/>
          </w:tcPr>
          <w:p w14:paraId="1CE09985" w14:textId="77777777" w:rsidR="00BF6B07" w:rsidRPr="00F91FD7" w:rsidRDefault="00BF6B07" w:rsidP="0061377C">
            <w:pPr>
              <w:widowControl/>
              <w:numPr>
                <w:ilvl w:val="0"/>
                <w:numId w:val="8"/>
              </w:numPr>
              <w:autoSpaceDE/>
              <w:autoSpaceDN/>
              <w:adjustRightInd/>
              <w:jc w:val="both"/>
              <w:rPr>
                <w:rFonts w:ascii="Arial" w:hAnsi="Arial" w:cs="Arial"/>
                <w:sz w:val="22"/>
                <w:szCs w:val="22"/>
              </w:rPr>
            </w:pPr>
            <w:r w:rsidRPr="00F91FD7">
              <w:rPr>
                <w:rFonts w:ascii="Arial" w:hAnsi="Arial" w:cs="Arial"/>
                <w:sz w:val="22"/>
                <w:szCs w:val="22"/>
              </w:rPr>
              <w:t xml:space="preserve">Vendor response to </w:t>
            </w:r>
            <w:r w:rsidRPr="00F91FD7">
              <w:rPr>
                <w:rFonts w:ascii="Arial" w:hAnsi="Arial" w:cs="Arial"/>
                <w:i/>
                <w:sz w:val="22"/>
                <w:szCs w:val="22"/>
              </w:rPr>
              <w:t>Cost Information Submission</w:t>
            </w:r>
            <w:r w:rsidRPr="00F91FD7">
              <w:rPr>
                <w:rFonts w:ascii="Arial" w:hAnsi="Arial" w:cs="Arial"/>
                <w:sz w:val="22"/>
                <w:szCs w:val="22"/>
              </w:rPr>
              <w:t xml:space="preserve"> (Section VIII)</w:t>
            </w:r>
          </w:p>
        </w:tc>
      </w:tr>
      <w:tr w:rsidR="00BF6B07" w:rsidRPr="00F91FD7" w14:paraId="247F0637" w14:textId="77777777">
        <w:tc>
          <w:tcPr>
            <w:tcW w:w="1008" w:type="dxa"/>
          </w:tcPr>
          <w:p w14:paraId="75A873D7" w14:textId="77777777" w:rsidR="00BF6B07" w:rsidRPr="00F91FD7" w:rsidRDefault="00BF6B07">
            <w:pPr>
              <w:rPr>
                <w:rFonts w:ascii="Arial" w:hAnsi="Arial" w:cs="Arial"/>
                <w:sz w:val="22"/>
                <w:szCs w:val="22"/>
              </w:rPr>
            </w:pPr>
            <w:r w:rsidRPr="00F91FD7">
              <w:rPr>
                <w:rFonts w:ascii="Arial" w:hAnsi="Arial" w:cs="Arial"/>
                <w:sz w:val="22"/>
                <w:szCs w:val="22"/>
              </w:rPr>
              <w:t>_____</w:t>
            </w:r>
          </w:p>
        </w:tc>
        <w:tc>
          <w:tcPr>
            <w:tcW w:w="8568" w:type="dxa"/>
          </w:tcPr>
          <w:p w14:paraId="5A7103CD" w14:textId="77777777" w:rsidR="00BF6B07" w:rsidRPr="00F91FD7" w:rsidRDefault="00BF6B07" w:rsidP="0061377C">
            <w:pPr>
              <w:widowControl/>
              <w:numPr>
                <w:ilvl w:val="0"/>
                <w:numId w:val="8"/>
              </w:numPr>
              <w:autoSpaceDE/>
              <w:autoSpaceDN/>
              <w:adjustRightInd/>
              <w:jc w:val="both"/>
              <w:rPr>
                <w:rFonts w:ascii="Arial" w:hAnsi="Arial" w:cs="Arial"/>
                <w:sz w:val="22"/>
                <w:szCs w:val="22"/>
              </w:rPr>
            </w:pPr>
            <w:r w:rsidRPr="00F91FD7">
              <w:rPr>
                <w:rFonts w:ascii="Arial" w:hAnsi="Arial" w:cs="Arial"/>
                <w:i/>
                <w:iCs/>
                <w:sz w:val="22"/>
                <w:szCs w:val="22"/>
              </w:rPr>
              <w:t>References</w:t>
            </w:r>
            <w:r w:rsidRPr="00F91FD7">
              <w:rPr>
                <w:rFonts w:ascii="Arial" w:hAnsi="Arial" w:cs="Arial"/>
                <w:sz w:val="22"/>
                <w:szCs w:val="22"/>
              </w:rPr>
              <w:t xml:space="preserve"> (Section IX)</w:t>
            </w:r>
          </w:p>
          <w:p w14:paraId="3CABC3B0" w14:textId="77777777" w:rsidR="00BF6B07" w:rsidRPr="00F91FD7" w:rsidRDefault="00BF6B07">
            <w:pPr>
              <w:ind w:left="360"/>
              <w:rPr>
                <w:rFonts w:ascii="Arial" w:hAnsi="Arial" w:cs="Arial"/>
                <w:sz w:val="22"/>
                <w:szCs w:val="22"/>
              </w:rPr>
            </w:pPr>
          </w:p>
        </w:tc>
      </w:tr>
    </w:tbl>
    <w:p w14:paraId="381E2633"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77AC5189"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8C0DAE6" w14:textId="77777777" w:rsidR="00BF6B07" w:rsidRPr="003560BD" w:rsidRDefault="00BF6B07">
      <w:pPr>
        <w:pStyle w:val="Title"/>
        <w:pBdr>
          <w:bottom w:val="double" w:sz="4" w:space="1" w:color="auto"/>
        </w:pBdr>
        <w:rPr>
          <w:rFonts w:ascii="Arial" w:hAnsi="Arial" w:cs="Arial"/>
          <w:sz w:val="22"/>
          <w:szCs w:val="22"/>
        </w:rPr>
      </w:pPr>
    </w:p>
    <w:p w14:paraId="099A7336" w14:textId="77777777" w:rsidR="00BF6B07" w:rsidRPr="003560BD" w:rsidRDefault="00BF6B07">
      <w:pPr>
        <w:rPr>
          <w:rFonts w:ascii="Arial" w:hAnsi="Arial" w:cs="Arial"/>
          <w:sz w:val="22"/>
          <w:szCs w:val="22"/>
        </w:rPr>
      </w:pPr>
    </w:p>
    <w:bookmarkStart w:id="7" w:name="_Toc49239621"/>
    <w:p w14:paraId="0542A74D" w14:textId="6AE63C39" w:rsidR="00257D2F" w:rsidRPr="00257D2F" w:rsidRDefault="00BF6B07">
      <w:pPr>
        <w:pStyle w:val="TOC1"/>
        <w:tabs>
          <w:tab w:val="right" w:leader="dot" w:pos="9350"/>
        </w:tabs>
        <w:rPr>
          <w:rFonts w:ascii="Arial" w:eastAsiaTheme="minorEastAsia" w:hAnsi="Arial" w:cs="Arial"/>
          <w:noProof/>
          <w:sz w:val="22"/>
          <w:szCs w:val="22"/>
        </w:rPr>
      </w:pPr>
      <w:r w:rsidRPr="00257D2F">
        <w:rPr>
          <w:rFonts w:ascii="Arial" w:hAnsi="Arial" w:cs="Arial"/>
          <w:sz w:val="22"/>
          <w:szCs w:val="22"/>
        </w:rPr>
        <w:fldChar w:fldCharType="begin"/>
      </w:r>
      <w:r w:rsidRPr="00257D2F">
        <w:rPr>
          <w:rFonts w:ascii="Arial" w:hAnsi="Arial" w:cs="Arial"/>
          <w:sz w:val="22"/>
          <w:szCs w:val="22"/>
        </w:rPr>
        <w:instrText xml:space="preserve"> TOC \h \z \t "Heading 1,1,Heading 2,2" </w:instrText>
      </w:r>
      <w:r w:rsidRPr="00257D2F">
        <w:rPr>
          <w:rFonts w:ascii="Arial" w:hAnsi="Arial" w:cs="Arial"/>
          <w:sz w:val="22"/>
          <w:szCs w:val="22"/>
        </w:rPr>
        <w:fldChar w:fldCharType="separate"/>
      </w:r>
      <w:hyperlink w:anchor="_Toc483995358" w:history="1">
        <w:r w:rsidR="00257D2F" w:rsidRPr="00257D2F">
          <w:rPr>
            <w:rStyle w:val="Hyperlink"/>
            <w:rFonts w:ascii="Arial" w:hAnsi="Arial" w:cs="Arial"/>
            <w:noProof/>
          </w:rPr>
          <w:t>SECTION I</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_Toc483995358 \h </w:instrText>
        </w:r>
        <w:r w:rsidR="00257D2F" w:rsidRPr="00257D2F">
          <w:rPr>
            <w:rFonts w:ascii="Arial" w:hAnsi="Arial" w:cs="Arial"/>
            <w:noProof/>
            <w:webHidden/>
          </w:rPr>
        </w:r>
        <w:r w:rsidR="00257D2F" w:rsidRPr="00257D2F">
          <w:rPr>
            <w:rFonts w:ascii="Arial" w:hAnsi="Arial" w:cs="Arial"/>
            <w:noProof/>
            <w:webHidden/>
          </w:rPr>
          <w:fldChar w:fldCharType="separate"/>
        </w:r>
        <w:r w:rsidR="00974D97">
          <w:rPr>
            <w:rFonts w:ascii="Arial" w:hAnsi="Arial" w:cs="Arial"/>
            <w:noProof/>
            <w:webHidden/>
          </w:rPr>
          <w:t>4</w:t>
        </w:r>
        <w:r w:rsidR="00257D2F" w:rsidRPr="00257D2F">
          <w:rPr>
            <w:rFonts w:ascii="Arial" w:hAnsi="Arial" w:cs="Arial"/>
            <w:noProof/>
            <w:webHidden/>
          </w:rPr>
          <w:fldChar w:fldCharType="end"/>
        </w:r>
      </w:hyperlink>
    </w:p>
    <w:p w14:paraId="6918EFCA" w14:textId="4D7C8943" w:rsidR="00257D2F" w:rsidRPr="00257D2F" w:rsidRDefault="00974D97">
      <w:pPr>
        <w:pStyle w:val="TOC2"/>
        <w:tabs>
          <w:tab w:val="right" w:leader="dot" w:pos="9350"/>
        </w:tabs>
        <w:rPr>
          <w:rFonts w:ascii="Arial" w:eastAsiaTheme="minorEastAsia" w:hAnsi="Arial" w:cs="Arial"/>
          <w:noProof/>
          <w:sz w:val="22"/>
          <w:szCs w:val="22"/>
        </w:rPr>
      </w:pPr>
      <w:hyperlink w:anchor="_Toc483995359" w:history="1">
        <w:r w:rsidR="00257D2F" w:rsidRPr="00257D2F">
          <w:rPr>
            <w:rStyle w:val="Hyperlink"/>
            <w:rFonts w:ascii="Arial" w:hAnsi="Arial" w:cs="Arial"/>
            <w:noProof/>
          </w:rPr>
          <w:t>SUBMISSION COVER SHEET &amp; CONFIGURATION SUMMARY</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_Toc483995359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4</w:t>
        </w:r>
        <w:r w:rsidR="00257D2F" w:rsidRPr="00257D2F">
          <w:rPr>
            <w:rFonts w:ascii="Arial" w:hAnsi="Arial" w:cs="Arial"/>
            <w:noProof/>
            <w:webHidden/>
          </w:rPr>
          <w:fldChar w:fldCharType="end"/>
        </w:r>
      </w:hyperlink>
    </w:p>
    <w:p w14:paraId="7CB408C6" w14:textId="570F3C8C" w:rsidR="00257D2F" w:rsidRPr="00257D2F" w:rsidRDefault="00974D97">
      <w:pPr>
        <w:pStyle w:val="TOC2"/>
        <w:tabs>
          <w:tab w:val="right" w:leader="dot" w:pos="9350"/>
        </w:tabs>
        <w:rPr>
          <w:rFonts w:ascii="Arial" w:eastAsiaTheme="minorEastAsia" w:hAnsi="Arial" w:cs="Arial"/>
          <w:noProof/>
          <w:sz w:val="22"/>
          <w:szCs w:val="22"/>
        </w:rPr>
      </w:pPr>
      <w:hyperlink w:anchor="_Toc483995360" w:history="1">
        <w:r w:rsidR="00257D2F" w:rsidRPr="00257D2F">
          <w:rPr>
            <w:rStyle w:val="Hyperlink"/>
            <w:rFonts w:ascii="Arial" w:hAnsi="Arial" w:cs="Arial"/>
            <w:noProof/>
          </w:rPr>
          <w:t>PROPOSAL BONDS</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_Toc483995360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w:t>
        </w:r>
        <w:r w:rsidR="00257D2F" w:rsidRPr="00257D2F">
          <w:rPr>
            <w:rFonts w:ascii="Arial" w:hAnsi="Arial" w:cs="Arial"/>
            <w:noProof/>
            <w:webHidden/>
          </w:rPr>
          <w:fldChar w:fldCharType="end"/>
        </w:r>
      </w:hyperlink>
    </w:p>
    <w:p w14:paraId="21C17F74" w14:textId="59E9A7AC" w:rsidR="00257D2F" w:rsidRPr="00257D2F" w:rsidRDefault="00974D97">
      <w:pPr>
        <w:pStyle w:val="TOC1"/>
        <w:tabs>
          <w:tab w:val="right" w:leader="dot" w:pos="9350"/>
        </w:tabs>
        <w:rPr>
          <w:rFonts w:ascii="Arial" w:eastAsiaTheme="minorEastAsia" w:hAnsi="Arial" w:cs="Arial"/>
          <w:noProof/>
          <w:sz w:val="22"/>
          <w:szCs w:val="22"/>
        </w:rPr>
      </w:pPr>
      <w:hyperlink w:anchor="_Toc483995361" w:history="1">
        <w:r w:rsidR="00257D2F" w:rsidRPr="00257D2F">
          <w:rPr>
            <w:rStyle w:val="Hyperlink"/>
            <w:rFonts w:ascii="Arial" w:hAnsi="Arial" w:cs="Arial"/>
            <w:noProof/>
          </w:rPr>
          <w:t>SECTION II</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_Toc483995361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6</w:t>
        </w:r>
        <w:r w:rsidR="00257D2F" w:rsidRPr="00257D2F">
          <w:rPr>
            <w:rFonts w:ascii="Arial" w:hAnsi="Arial" w:cs="Arial"/>
            <w:noProof/>
            <w:webHidden/>
          </w:rPr>
          <w:fldChar w:fldCharType="end"/>
        </w:r>
      </w:hyperlink>
    </w:p>
    <w:p w14:paraId="174351CC" w14:textId="6846E24D" w:rsidR="00257D2F" w:rsidRPr="00257D2F" w:rsidRDefault="00974D97">
      <w:pPr>
        <w:pStyle w:val="TOC2"/>
        <w:tabs>
          <w:tab w:val="right" w:leader="dot" w:pos="9350"/>
        </w:tabs>
        <w:rPr>
          <w:rFonts w:ascii="Arial" w:eastAsiaTheme="minorEastAsia" w:hAnsi="Arial" w:cs="Arial"/>
          <w:noProof/>
          <w:sz w:val="22"/>
          <w:szCs w:val="22"/>
        </w:rPr>
      </w:pPr>
      <w:hyperlink w:anchor="_Toc483995362" w:history="1">
        <w:r w:rsidR="00257D2F" w:rsidRPr="00257D2F">
          <w:rPr>
            <w:rStyle w:val="Hyperlink"/>
            <w:rFonts w:ascii="Arial" w:hAnsi="Arial" w:cs="Arial"/>
            <w:noProof/>
          </w:rPr>
          <w:t>PROPOSAL SUBMISSION REQUIREMENTS</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_Toc483995362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6</w:t>
        </w:r>
        <w:r w:rsidR="00257D2F" w:rsidRPr="00257D2F">
          <w:rPr>
            <w:rFonts w:ascii="Arial" w:hAnsi="Arial" w:cs="Arial"/>
            <w:noProof/>
            <w:webHidden/>
          </w:rPr>
          <w:fldChar w:fldCharType="end"/>
        </w:r>
      </w:hyperlink>
    </w:p>
    <w:p w14:paraId="0CA5AB9F" w14:textId="67EA3BD0" w:rsidR="00257D2F" w:rsidRPr="00257D2F" w:rsidRDefault="00974D97">
      <w:pPr>
        <w:pStyle w:val="TOC1"/>
        <w:tabs>
          <w:tab w:val="right" w:leader="dot" w:pos="9350"/>
        </w:tabs>
        <w:rPr>
          <w:rFonts w:ascii="Arial" w:eastAsiaTheme="minorEastAsia" w:hAnsi="Arial" w:cs="Arial"/>
          <w:noProof/>
          <w:sz w:val="22"/>
          <w:szCs w:val="22"/>
        </w:rPr>
      </w:pPr>
      <w:hyperlink w:anchor="_Toc483995363" w:history="1">
        <w:r w:rsidR="00257D2F" w:rsidRPr="00257D2F">
          <w:rPr>
            <w:rStyle w:val="Hyperlink"/>
            <w:rFonts w:ascii="Arial" w:hAnsi="Arial" w:cs="Arial"/>
            <w:noProof/>
          </w:rPr>
          <w:t>SECTION III</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_Toc483995363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9</w:t>
        </w:r>
        <w:r w:rsidR="00257D2F" w:rsidRPr="00257D2F">
          <w:rPr>
            <w:rFonts w:ascii="Arial" w:hAnsi="Arial" w:cs="Arial"/>
            <w:noProof/>
            <w:webHidden/>
          </w:rPr>
          <w:fldChar w:fldCharType="end"/>
        </w:r>
      </w:hyperlink>
    </w:p>
    <w:p w14:paraId="4AB5A231" w14:textId="10A50A2D" w:rsidR="00257D2F" w:rsidRPr="00257D2F" w:rsidRDefault="00974D97">
      <w:pPr>
        <w:pStyle w:val="TOC2"/>
        <w:tabs>
          <w:tab w:val="right" w:leader="dot" w:pos="9350"/>
        </w:tabs>
        <w:rPr>
          <w:rFonts w:ascii="Arial" w:eastAsiaTheme="minorEastAsia" w:hAnsi="Arial" w:cs="Arial"/>
          <w:noProof/>
          <w:sz w:val="22"/>
          <w:szCs w:val="22"/>
        </w:rPr>
      </w:pPr>
      <w:hyperlink w:anchor="_Toc483995364" w:history="1">
        <w:r w:rsidR="00257D2F" w:rsidRPr="00257D2F">
          <w:rPr>
            <w:rStyle w:val="Hyperlink"/>
            <w:rFonts w:ascii="Arial" w:hAnsi="Arial" w:cs="Arial"/>
            <w:noProof/>
          </w:rPr>
          <w:t>VENDOR INFORMATION</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_Toc483995364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9</w:t>
        </w:r>
        <w:r w:rsidR="00257D2F" w:rsidRPr="00257D2F">
          <w:rPr>
            <w:rFonts w:ascii="Arial" w:hAnsi="Arial" w:cs="Arial"/>
            <w:noProof/>
            <w:webHidden/>
          </w:rPr>
          <w:fldChar w:fldCharType="end"/>
        </w:r>
      </w:hyperlink>
    </w:p>
    <w:p w14:paraId="351C0AD1" w14:textId="359FE450" w:rsidR="00257D2F" w:rsidRPr="00257D2F" w:rsidRDefault="00974D97">
      <w:pPr>
        <w:pStyle w:val="TOC1"/>
        <w:tabs>
          <w:tab w:val="right" w:leader="dot" w:pos="9350"/>
        </w:tabs>
        <w:rPr>
          <w:rFonts w:ascii="Arial" w:eastAsiaTheme="minorEastAsia" w:hAnsi="Arial" w:cs="Arial"/>
          <w:noProof/>
          <w:sz w:val="22"/>
          <w:szCs w:val="22"/>
        </w:rPr>
      </w:pPr>
      <w:hyperlink w:anchor="_Toc483995365" w:history="1">
        <w:r w:rsidR="00257D2F" w:rsidRPr="00257D2F">
          <w:rPr>
            <w:rStyle w:val="Hyperlink"/>
            <w:rFonts w:ascii="Arial" w:hAnsi="Arial" w:cs="Arial"/>
            <w:noProof/>
          </w:rPr>
          <w:t>SECTION IV</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_Toc483995365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13</w:t>
        </w:r>
        <w:r w:rsidR="00257D2F" w:rsidRPr="00257D2F">
          <w:rPr>
            <w:rFonts w:ascii="Arial" w:hAnsi="Arial" w:cs="Arial"/>
            <w:noProof/>
            <w:webHidden/>
          </w:rPr>
          <w:fldChar w:fldCharType="end"/>
        </w:r>
      </w:hyperlink>
    </w:p>
    <w:p w14:paraId="0FD7C5AD" w14:textId="65F98487" w:rsidR="00257D2F" w:rsidRPr="00257D2F" w:rsidRDefault="00974D97">
      <w:pPr>
        <w:pStyle w:val="TOC2"/>
        <w:tabs>
          <w:tab w:val="right" w:leader="dot" w:pos="9350"/>
        </w:tabs>
        <w:rPr>
          <w:rFonts w:ascii="Arial" w:eastAsiaTheme="minorEastAsia" w:hAnsi="Arial" w:cs="Arial"/>
          <w:noProof/>
          <w:sz w:val="22"/>
          <w:szCs w:val="22"/>
        </w:rPr>
      </w:pPr>
      <w:hyperlink w:anchor="_Toc483995366" w:history="1">
        <w:r w:rsidR="00257D2F" w:rsidRPr="00257D2F">
          <w:rPr>
            <w:rStyle w:val="Hyperlink"/>
            <w:rFonts w:ascii="Arial" w:hAnsi="Arial" w:cs="Arial"/>
            <w:noProof/>
          </w:rPr>
          <w:t>LEGAL AND CONTRACTUAL INFORMATION</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_Toc483995366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13</w:t>
        </w:r>
        <w:r w:rsidR="00257D2F" w:rsidRPr="00257D2F">
          <w:rPr>
            <w:rFonts w:ascii="Arial" w:hAnsi="Arial" w:cs="Arial"/>
            <w:noProof/>
            <w:webHidden/>
          </w:rPr>
          <w:fldChar w:fldCharType="end"/>
        </w:r>
      </w:hyperlink>
    </w:p>
    <w:p w14:paraId="63C737D7" w14:textId="2353AE98" w:rsidR="00257D2F" w:rsidRPr="00257D2F" w:rsidRDefault="00974D97">
      <w:pPr>
        <w:pStyle w:val="TOC1"/>
        <w:tabs>
          <w:tab w:val="right" w:leader="dot" w:pos="9350"/>
        </w:tabs>
        <w:rPr>
          <w:rFonts w:ascii="Arial" w:eastAsiaTheme="minorEastAsia" w:hAnsi="Arial" w:cs="Arial"/>
          <w:noProof/>
          <w:sz w:val="22"/>
          <w:szCs w:val="22"/>
        </w:rPr>
      </w:pPr>
      <w:hyperlink w:anchor="_Toc483995367" w:history="1">
        <w:r w:rsidR="00257D2F" w:rsidRPr="00257D2F">
          <w:rPr>
            <w:rStyle w:val="Hyperlink"/>
            <w:rFonts w:ascii="Arial" w:hAnsi="Arial" w:cs="Arial"/>
            <w:noProof/>
          </w:rPr>
          <w:t>SECTION V</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_Toc483995367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24</w:t>
        </w:r>
        <w:r w:rsidR="00257D2F" w:rsidRPr="00257D2F">
          <w:rPr>
            <w:rFonts w:ascii="Arial" w:hAnsi="Arial" w:cs="Arial"/>
            <w:noProof/>
            <w:webHidden/>
          </w:rPr>
          <w:fldChar w:fldCharType="end"/>
        </w:r>
      </w:hyperlink>
    </w:p>
    <w:p w14:paraId="6CB62392" w14:textId="1364366A" w:rsidR="00257D2F" w:rsidRPr="00257D2F" w:rsidRDefault="00974D97">
      <w:pPr>
        <w:pStyle w:val="TOC2"/>
        <w:tabs>
          <w:tab w:val="right" w:leader="dot" w:pos="9350"/>
        </w:tabs>
        <w:rPr>
          <w:rFonts w:ascii="Arial" w:eastAsiaTheme="minorEastAsia" w:hAnsi="Arial" w:cs="Arial"/>
          <w:noProof/>
          <w:sz w:val="22"/>
          <w:szCs w:val="22"/>
        </w:rPr>
      </w:pPr>
      <w:hyperlink w:anchor="_Toc483995368" w:history="1">
        <w:r w:rsidR="00257D2F" w:rsidRPr="00257D2F">
          <w:rPr>
            <w:rStyle w:val="Hyperlink"/>
            <w:rFonts w:ascii="Arial" w:hAnsi="Arial" w:cs="Arial"/>
            <w:noProof/>
          </w:rPr>
          <w:t>PROPOSAL EXCEPTIONS</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_Toc483995368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24</w:t>
        </w:r>
        <w:r w:rsidR="00257D2F" w:rsidRPr="00257D2F">
          <w:rPr>
            <w:rFonts w:ascii="Arial" w:hAnsi="Arial" w:cs="Arial"/>
            <w:noProof/>
            <w:webHidden/>
          </w:rPr>
          <w:fldChar w:fldCharType="end"/>
        </w:r>
      </w:hyperlink>
    </w:p>
    <w:p w14:paraId="227F8A88" w14:textId="32E8B497" w:rsidR="00257D2F" w:rsidRPr="00257D2F" w:rsidRDefault="00974D97">
      <w:pPr>
        <w:pStyle w:val="TOC2"/>
        <w:tabs>
          <w:tab w:val="right" w:leader="dot" w:pos="9350"/>
        </w:tabs>
        <w:rPr>
          <w:rFonts w:ascii="Arial" w:eastAsiaTheme="minorEastAsia" w:hAnsi="Arial" w:cs="Arial"/>
          <w:noProof/>
          <w:sz w:val="22"/>
          <w:szCs w:val="22"/>
        </w:rPr>
      </w:pPr>
      <w:hyperlink w:anchor="_Toc483995369" w:history="1">
        <w:r w:rsidR="00257D2F" w:rsidRPr="00257D2F">
          <w:rPr>
            <w:rStyle w:val="Hyperlink"/>
            <w:rFonts w:ascii="Arial" w:hAnsi="Arial" w:cs="Arial"/>
            <w:noProof/>
          </w:rPr>
          <w:t>PROPOSAL EXCEPTION SUMMARY FORM</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_Toc483995369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26</w:t>
        </w:r>
        <w:r w:rsidR="00257D2F" w:rsidRPr="00257D2F">
          <w:rPr>
            <w:rFonts w:ascii="Arial" w:hAnsi="Arial" w:cs="Arial"/>
            <w:noProof/>
            <w:webHidden/>
          </w:rPr>
          <w:fldChar w:fldCharType="end"/>
        </w:r>
      </w:hyperlink>
    </w:p>
    <w:p w14:paraId="11F24BDD" w14:textId="4ABD9B7C" w:rsidR="00257D2F" w:rsidRPr="00257D2F" w:rsidRDefault="00974D97">
      <w:pPr>
        <w:pStyle w:val="TOC1"/>
        <w:tabs>
          <w:tab w:val="right" w:leader="dot" w:pos="9350"/>
        </w:tabs>
        <w:rPr>
          <w:rFonts w:ascii="Arial" w:eastAsiaTheme="minorEastAsia" w:hAnsi="Arial" w:cs="Arial"/>
          <w:noProof/>
          <w:sz w:val="22"/>
          <w:szCs w:val="22"/>
        </w:rPr>
      </w:pPr>
      <w:hyperlink w:anchor="_Toc483995370" w:history="1">
        <w:r w:rsidR="00257D2F" w:rsidRPr="00257D2F">
          <w:rPr>
            <w:rStyle w:val="Hyperlink"/>
            <w:rFonts w:ascii="Arial" w:hAnsi="Arial" w:cs="Arial"/>
            <w:noProof/>
          </w:rPr>
          <w:t>SECTION VI</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_Toc483995370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27</w:t>
        </w:r>
        <w:r w:rsidR="00257D2F" w:rsidRPr="00257D2F">
          <w:rPr>
            <w:rFonts w:ascii="Arial" w:hAnsi="Arial" w:cs="Arial"/>
            <w:noProof/>
            <w:webHidden/>
          </w:rPr>
          <w:fldChar w:fldCharType="end"/>
        </w:r>
      </w:hyperlink>
    </w:p>
    <w:p w14:paraId="17552991" w14:textId="707A90C7" w:rsidR="00257D2F" w:rsidRPr="00257D2F" w:rsidRDefault="00974D97">
      <w:pPr>
        <w:pStyle w:val="TOC2"/>
        <w:tabs>
          <w:tab w:val="right" w:leader="dot" w:pos="9350"/>
        </w:tabs>
        <w:rPr>
          <w:rFonts w:ascii="Arial" w:eastAsiaTheme="minorEastAsia" w:hAnsi="Arial" w:cs="Arial"/>
          <w:noProof/>
          <w:sz w:val="22"/>
          <w:szCs w:val="22"/>
        </w:rPr>
      </w:pPr>
      <w:hyperlink w:anchor="_Toc483995371" w:history="1">
        <w:r w:rsidR="00257D2F" w:rsidRPr="00257D2F">
          <w:rPr>
            <w:rStyle w:val="Hyperlink"/>
            <w:rFonts w:ascii="Arial" w:hAnsi="Arial" w:cs="Arial"/>
            <w:noProof/>
          </w:rPr>
          <w:t>RFP QUESTIONNAIRE</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_Toc483995371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27</w:t>
        </w:r>
        <w:r w:rsidR="00257D2F" w:rsidRPr="00257D2F">
          <w:rPr>
            <w:rFonts w:ascii="Arial" w:hAnsi="Arial" w:cs="Arial"/>
            <w:noProof/>
            <w:webHidden/>
          </w:rPr>
          <w:fldChar w:fldCharType="end"/>
        </w:r>
      </w:hyperlink>
    </w:p>
    <w:p w14:paraId="39284FB5" w14:textId="11C40F8B" w:rsidR="00257D2F" w:rsidRPr="00257D2F" w:rsidRDefault="00974D97">
      <w:pPr>
        <w:pStyle w:val="TOC1"/>
        <w:tabs>
          <w:tab w:val="right" w:leader="dot" w:pos="9350"/>
        </w:tabs>
        <w:rPr>
          <w:rFonts w:ascii="Arial" w:eastAsiaTheme="minorEastAsia" w:hAnsi="Arial" w:cs="Arial"/>
          <w:noProof/>
          <w:sz w:val="22"/>
          <w:szCs w:val="22"/>
        </w:rPr>
      </w:pPr>
      <w:hyperlink w:anchor="_Toc483995372" w:history="1">
        <w:r w:rsidR="00257D2F" w:rsidRPr="00257D2F">
          <w:rPr>
            <w:rStyle w:val="Hyperlink"/>
            <w:rFonts w:ascii="Arial" w:hAnsi="Arial" w:cs="Arial"/>
            <w:noProof/>
          </w:rPr>
          <w:t>SECTION VII</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_Toc483995372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30</w:t>
        </w:r>
        <w:r w:rsidR="00257D2F" w:rsidRPr="00257D2F">
          <w:rPr>
            <w:rFonts w:ascii="Arial" w:hAnsi="Arial" w:cs="Arial"/>
            <w:noProof/>
            <w:webHidden/>
          </w:rPr>
          <w:fldChar w:fldCharType="end"/>
        </w:r>
      </w:hyperlink>
    </w:p>
    <w:p w14:paraId="5A8696CA" w14:textId="55F976C5" w:rsidR="00257D2F" w:rsidRPr="00257D2F" w:rsidRDefault="00974D97">
      <w:pPr>
        <w:pStyle w:val="TOC2"/>
        <w:tabs>
          <w:tab w:val="right" w:leader="dot" w:pos="9350"/>
        </w:tabs>
        <w:rPr>
          <w:rFonts w:ascii="Arial" w:eastAsiaTheme="minorEastAsia" w:hAnsi="Arial" w:cs="Arial"/>
          <w:noProof/>
          <w:sz w:val="22"/>
          <w:szCs w:val="22"/>
        </w:rPr>
      </w:pPr>
      <w:hyperlink w:anchor="_Toc483995373" w:history="1">
        <w:r w:rsidR="00257D2F" w:rsidRPr="00257D2F">
          <w:rPr>
            <w:rStyle w:val="Hyperlink"/>
            <w:rFonts w:ascii="Arial" w:hAnsi="Arial" w:cs="Arial"/>
            <w:noProof/>
          </w:rPr>
          <w:t>TECHNICAL SPECIFICATIONS</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_Toc483995373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30</w:t>
        </w:r>
        <w:r w:rsidR="00257D2F" w:rsidRPr="00257D2F">
          <w:rPr>
            <w:rFonts w:ascii="Arial" w:hAnsi="Arial" w:cs="Arial"/>
            <w:noProof/>
            <w:webHidden/>
          </w:rPr>
          <w:fldChar w:fldCharType="end"/>
        </w:r>
      </w:hyperlink>
    </w:p>
    <w:p w14:paraId="78539A85" w14:textId="7E0EC87D" w:rsidR="00257D2F" w:rsidRPr="00257D2F" w:rsidRDefault="00974D97">
      <w:pPr>
        <w:pStyle w:val="TOC1"/>
        <w:tabs>
          <w:tab w:val="right" w:leader="dot" w:pos="9350"/>
        </w:tabs>
        <w:rPr>
          <w:rFonts w:ascii="Arial" w:eastAsiaTheme="minorEastAsia" w:hAnsi="Arial" w:cs="Arial"/>
          <w:noProof/>
          <w:sz w:val="22"/>
          <w:szCs w:val="22"/>
        </w:rPr>
      </w:pPr>
      <w:hyperlink w:anchor="_Toc483995374" w:history="1">
        <w:r w:rsidR="00257D2F" w:rsidRPr="00257D2F">
          <w:rPr>
            <w:rStyle w:val="Hyperlink"/>
            <w:rFonts w:ascii="Arial" w:hAnsi="Arial" w:cs="Arial"/>
            <w:noProof/>
          </w:rPr>
          <w:t>SECTION VIII</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_Toc483995374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50</w:t>
        </w:r>
        <w:r w:rsidR="00257D2F" w:rsidRPr="00257D2F">
          <w:rPr>
            <w:rFonts w:ascii="Arial" w:hAnsi="Arial" w:cs="Arial"/>
            <w:noProof/>
            <w:webHidden/>
          </w:rPr>
          <w:fldChar w:fldCharType="end"/>
        </w:r>
      </w:hyperlink>
    </w:p>
    <w:p w14:paraId="3A5BEA09" w14:textId="45827D70" w:rsidR="00257D2F" w:rsidRPr="00257D2F" w:rsidRDefault="00974D97">
      <w:pPr>
        <w:pStyle w:val="TOC2"/>
        <w:tabs>
          <w:tab w:val="right" w:leader="dot" w:pos="9350"/>
        </w:tabs>
        <w:rPr>
          <w:rFonts w:ascii="Arial" w:eastAsiaTheme="minorEastAsia" w:hAnsi="Arial" w:cs="Arial"/>
          <w:noProof/>
          <w:sz w:val="22"/>
          <w:szCs w:val="22"/>
        </w:rPr>
      </w:pPr>
      <w:hyperlink w:anchor="_Toc483995375" w:history="1">
        <w:r w:rsidR="00257D2F" w:rsidRPr="00257D2F">
          <w:rPr>
            <w:rStyle w:val="Hyperlink"/>
            <w:rFonts w:ascii="Arial" w:hAnsi="Arial" w:cs="Arial"/>
            <w:noProof/>
          </w:rPr>
          <w:t>COST INFORMATION SUBMISSION</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_Toc483995375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50</w:t>
        </w:r>
        <w:r w:rsidR="00257D2F" w:rsidRPr="00257D2F">
          <w:rPr>
            <w:rFonts w:ascii="Arial" w:hAnsi="Arial" w:cs="Arial"/>
            <w:noProof/>
            <w:webHidden/>
          </w:rPr>
          <w:fldChar w:fldCharType="end"/>
        </w:r>
      </w:hyperlink>
    </w:p>
    <w:p w14:paraId="732E2FB6" w14:textId="058EC429" w:rsidR="00257D2F" w:rsidRPr="00257D2F" w:rsidRDefault="00974D97">
      <w:pPr>
        <w:pStyle w:val="TOC1"/>
        <w:tabs>
          <w:tab w:val="right" w:leader="dot" w:pos="9350"/>
        </w:tabs>
        <w:rPr>
          <w:rFonts w:ascii="Arial" w:eastAsiaTheme="minorEastAsia" w:hAnsi="Arial" w:cs="Arial"/>
          <w:noProof/>
          <w:sz w:val="22"/>
          <w:szCs w:val="22"/>
        </w:rPr>
      </w:pPr>
      <w:hyperlink w:anchor="_Toc483995376" w:history="1">
        <w:r w:rsidR="00257D2F" w:rsidRPr="00257D2F">
          <w:rPr>
            <w:rStyle w:val="Hyperlink"/>
            <w:rFonts w:ascii="Arial" w:hAnsi="Arial" w:cs="Arial"/>
            <w:noProof/>
          </w:rPr>
          <w:t>SECTION IX</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_Toc483995376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52</w:t>
        </w:r>
        <w:r w:rsidR="00257D2F" w:rsidRPr="00257D2F">
          <w:rPr>
            <w:rFonts w:ascii="Arial" w:hAnsi="Arial" w:cs="Arial"/>
            <w:noProof/>
            <w:webHidden/>
          </w:rPr>
          <w:fldChar w:fldCharType="end"/>
        </w:r>
      </w:hyperlink>
    </w:p>
    <w:p w14:paraId="4DE94E28" w14:textId="3E7BB6EA" w:rsidR="00257D2F" w:rsidRPr="00257D2F" w:rsidRDefault="00974D97">
      <w:pPr>
        <w:pStyle w:val="TOC2"/>
        <w:tabs>
          <w:tab w:val="right" w:leader="dot" w:pos="9350"/>
        </w:tabs>
        <w:rPr>
          <w:rFonts w:ascii="Arial" w:eastAsiaTheme="minorEastAsia" w:hAnsi="Arial" w:cs="Arial"/>
          <w:noProof/>
          <w:sz w:val="22"/>
          <w:szCs w:val="22"/>
        </w:rPr>
      </w:pPr>
      <w:hyperlink w:anchor="_Toc483995377" w:history="1">
        <w:r w:rsidR="00257D2F" w:rsidRPr="00257D2F">
          <w:rPr>
            <w:rStyle w:val="Hyperlink"/>
            <w:rFonts w:ascii="Arial" w:hAnsi="Arial" w:cs="Arial"/>
            <w:noProof/>
          </w:rPr>
          <w:t>REFERENCES</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_Toc483995377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52</w:t>
        </w:r>
        <w:r w:rsidR="00257D2F" w:rsidRPr="00257D2F">
          <w:rPr>
            <w:rFonts w:ascii="Arial" w:hAnsi="Arial" w:cs="Arial"/>
            <w:noProof/>
            <w:webHidden/>
          </w:rPr>
          <w:fldChar w:fldCharType="end"/>
        </w:r>
      </w:hyperlink>
    </w:p>
    <w:p w14:paraId="0A6823E2" w14:textId="46B75FAB" w:rsidR="00257D2F" w:rsidRPr="00257D2F" w:rsidRDefault="00974D97">
      <w:pPr>
        <w:pStyle w:val="TOC2"/>
        <w:tabs>
          <w:tab w:val="right" w:leader="dot" w:pos="9350"/>
        </w:tabs>
        <w:rPr>
          <w:rFonts w:ascii="Arial" w:eastAsiaTheme="minorEastAsia" w:hAnsi="Arial" w:cs="Arial"/>
          <w:noProof/>
          <w:sz w:val="22"/>
          <w:szCs w:val="22"/>
        </w:rPr>
      </w:pPr>
      <w:hyperlink w:anchor="_Toc483995378" w:history="1">
        <w:r w:rsidR="00257D2F" w:rsidRPr="00257D2F">
          <w:rPr>
            <w:rStyle w:val="Hyperlink"/>
            <w:rFonts w:ascii="Arial" w:hAnsi="Arial" w:cs="Arial"/>
            <w:noProof/>
          </w:rPr>
          <w:t>REFERENCE FORM</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_Toc483995378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54</w:t>
        </w:r>
        <w:r w:rsidR="00257D2F" w:rsidRPr="00257D2F">
          <w:rPr>
            <w:rFonts w:ascii="Arial" w:hAnsi="Arial" w:cs="Arial"/>
            <w:noProof/>
            <w:webHidden/>
          </w:rPr>
          <w:fldChar w:fldCharType="end"/>
        </w:r>
      </w:hyperlink>
    </w:p>
    <w:p w14:paraId="5835564A" w14:textId="75FC1E03" w:rsidR="00257D2F" w:rsidRPr="00257D2F" w:rsidRDefault="00974D97">
      <w:pPr>
        <w:pStyle w:val="TOC2"/>
        <w:tabs>
          <w:tab w:val="right" w:leader="dot" w:pos="9350"/>
        </w:tabs>
        <w:rPr>
          <w:rFonts w:ascii="Arial" w:eastAsiaTheme="minorEastAsia" w:hAnsi="Arial" w:cs="Arial"/>
          <w:noProof/>
          <w:sz w:val="22"/>
          <w:szCs w:val="22"/>
        </w:rPr>
      </w:pPr>
      <w:hyperlink w:anchor="_Toc483995379" w:history="1">
        <w:r w:rsidR="00257D2F" w:rsidRPr="00257D2F">
          <w:rPr>
            <w:rStyle w:val="Hyperlink"/>
            <w:rFonts w:ascii="Arial" w:hAnsi="Arial" w:cs="Arial"/>
            <w:noProof/>
          </w:rPr>
          <w:t>SUBCONTRACTOR REFERENCE FORM</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_Toc483995379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55</w:t>
        </w:r>
        <w:r w:rsidR="00257D2F" w:rsidRPr="00257D2F">
          <w:rPr>
            <w:rFonts w:ascii="Arial" w:hAnsi="Arial" w:cs="Arial"/>
            <w:noProof/>
            <w:webHidden/>
          </w:rPr>
          <w:fldChar w:fldCharType="end"/>
        </w:r>
      </w:hyperlink>
    </w:p>
    <w:p w14:paraId="113C2FC6" w14:textId="120A27E5" w:rsidR="00257D2F" w:rsidRPr="00257D2F" w:rsidRDefault="00974D97">
      <w:pPr>
        <w:pStyle w:val="TOC1"/>
        <w:tabs>
          <w:tab w:val="right" w:leader="dot" w:pos="9350"/>
        </w:tabs>
        <w:rPr>
          <w:rFonts w:ascii="Arial" w:eastAsiaTheme="minorEastAsia" w:hAnsi="Arial" w:cs="Arial"/>
          <w:noProof/>
          <w:sz w:val="22"/>
          <w:szCs w:val="22"/>
        </w:rPr>
      </w:pPr>
      <w:hyperlink w:anchor="_Toc483995380" w:history="1">
        <w:r w:rsidR="00257D2F" w:rsidRPr="00257D2F">
          <w:rPr>
            <w:rStyle w:val="Hyperlink"/>
            <w:rFonts w:ascii="Arial" w:hAnsi="Arial" w:cs="Arial"/>
            <w:noProof/>
          </w:rPr>
          <w:t>EXHIBIT A</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_Toc483995380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56</w:t>
        </w:r>
        <w:r w:rsidR="00257D2F" w:rsidRPr="00257D2F">
          <w:rPr>
            <w:rFonts w:ascii="Arial" w:hAnsi="Arial" w:cs="Arial"/>
            <w:noProof/>
            <w:webHidden/>
          </w:rPr>
          <w:fldChar w:fldCharType="end"/>
        </w:r>
      </w:hyperlink>
    </w:p>
    <w:p w14:paraId="4D017F11" w14:textId="38349DAE" w:rsidR="00257D2F" w:rsidRPr="00257D2F" w:rsidRDefault="00974D97">
      <w:pPr>
        <w:pStyle w:val="TOC2"/>
        <w:tabs>
          <w:tab w:val="right" w:leader="dot" w:pos="9350"/>
        </w:tabs>
        <w:rPr>
          <w:rFonts w:ascii="Arial" w:eastAsiaTheme="minorEastAsia" w:hAnsi="Arial" w:cs="Arial"/>
          <w:noProof/>
          <w:sz w:val="22"/>
          <w:szCs w:val="22"/>
        </w:rPr>
      </w:pPr>
      <w:hyperlink w:anchor="_Toc483995381" w:history="1">
        <w:r w:rsidR="00257D2F" w:rsidRPr="00257D2F">
          <w:rPr>
            <w:rStyle w:val="Hyperlink"/>
            <w:rFonts w:ascii="Arial" w:hAnsi="Arial" w:cs="Arial"/>
            <w:noProof/>
          </w:rPr>
          <w:t>STANDARD CONTRACT</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_Toc483995381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56</w:t>
        </w:r>
        <w:r w:rsidR="00257D2F" w:rsidRPr="00257D2F">
          <w:rPr>
            <w:rFonts w:ascii="Arial" w:hAnsi="Arial" w:cs="Arial"/>
            <w:noProof/>
            <w:webHidden/>
          </w:rPr>
          <w:fldChar w:fldCharType="end"/>
        </w:r>
      </w:hyperlink>
    </w:p>
    <w:p w14:paraId="4D749B99" w14:textId="5C0EFD17" w:rsidR="00257D2F" w:rsidRPr="00257D2F" w:rsidRDefault="00974D97">
      <w:pPr>
        <w:pStyle w:val="TOC1"/>
        <w:tabs>
          <w:tab w:val="right" w:leader="dot" w:pos="9350"/>
        </w:tabs>
        <w:rPr>
          <w:rFonts w:ascii="Arial" w:eastAsiaTheme="minorEastAsia" w:hAnsi="Arial" w:cs="Arial"/>
          <w:noProof/>
          <w:sz w:val="22"/>
          <w:szCs w:val="22"/>
        </w:rPr>
      </w:pPr>
      <w:hyperlink w:anchor="_Toc483995382" w:history="1">
        <w:r w:rsidR="00257D2F" w:rsidRPr="00257D2F">
          <w:rPr>
            <w:rStyle w:val="Hyperlink"/>
            <w:rFonts w:ascii="Arial" w:hAnsi="Arial" w:cs="Arial"/>
            <w:noProof/>
          </w:rPr>
          <w:t>ATTACHMENT A</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_Toc483995382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79</w:t>
        </w:r>
        <w:r w:rsidR="00257D2F" w:rsidRPr="00257D2F">
          <w:rPr>
            <w:rFonts w:ascii="Arial" w:hAnsi="Arial" w:cs="Arial"/>
            <w:noProof/>
            <w:webHidden/>
          </w:rPr>
          <w:fldChar w:fldCharType="end"/>
        </w:r>
      </w:hyperlink>
    </w:p>
    <w:p w14:paraId="0D82100E" w14:textId="7A310A2A" w:rsidR="00257D2F" w:rsidRPr="00257D2F" w:rsidRDefault="00974D97">
      <w:pPr>
        <w:pStyle w:val="TOC2"/>
        <w:tabs>
          <w:tab w:val="right" w:leader="dot" w:pos="9350"/>
        </w:tabs>
        <w:rPr>
          <w:rFonts w:ascii="Arial" w:eastAsiaTheme="minorEastAsia" w:hAnsi="Arial" w:cs="Arial"/>
          <w:noProof/>
          <w:sz w:val="22"/>
          <w:szCs w:val="22"/>
        </w:rPr>
      </w:pPr>
      <w:hyperlink w:anchor="_Toc483995383" w:history="1">
        <w:r w:rsidR="00257D2F" w:rsidRPr="00257D2F">
          <w:rPr>
            <w:rStyle w:val="Hyperlink"/>
            <w:rFonts w:ascii="Arial" w:hAnsi="Arial" w:cs="Arial"/>
            <w:noProof/>
          </w:rPr>
          <w:t>State of Mississippi Payment Card Processing</w:t>
        </w:r>
        <w:r w:rsidR="00257D2F" w:rsidRPr="00257D2F">
          <w:rPr>
            <w:rFonts w:ascii="Arial" w:hAnsi="Arial" w:cs="Arial"/>
            <w:noProof/>
            <w:webHidden/>
          </w:rPr>
          <w:tab/>
        </w:r>
        <w:r w:rsidR="00257D2F" w:rsidRPr="00257D2F">
          <w:rPr>
            <w:rFonts w:ascii="Arial" w:hAnsi="Arial" w:cs="Arial"/>
            <w:noProof/>
            <w:webHidden/>
          </w:rPr>
          <w:fldChar w:fldCharType="begin"/>
        </w:r>
        <w:r w:rsidR="00257D2F" w:rsidRPr="00257D2F">
          <w:rPr>
            <w:rFonts w:ascii="Arial" w:hAnsi="Arial" w:cs="Arial"/>
            <w:noProof/>
            <w:webHidden/>
          </w:rPr>
          <w:instrText xml:space="preserve"> PAGEREF _Toc483995383 \h </w:instrText>
        </w:r>
        <w:r w:rsidR="00257D2F" w:rsidRPr="00257D2F">
          <w:rPr>
            <w:rFonts w:ascii="Arial" w:hAnsi="Arial" w:cs="Arial"/>
            <w:noProof/>
            <w:webHidden/>
          </w:rPr>
        </w:r>
        <w:r w:rsidR="00257D2F" w:rsidRPr="00257D2F">
          <w:rPr>
            <w:rFonts w:ascii="Arial" w:hAnsi="Arial" w:cs="Arial"/>
            <w:noProof/>
            <w:webHidden/>
          </w:rPr>
          <w:fldChar w:fldCharType="separate"/>
        </w:r>
        <w:r>
          <w:rPr>
            <w:rFonts w:ascii="Arial" w:hAnsi="Arial" w:cs="Arial"/>
            <w:noProof/>
            <w:webHidden/>
          </w:rPr>
          <w:t>79</w:t>
        </w:r>
        <w:r w:rsidR="00257D2F" w:rsidRPr="00257D2F">
          <w:rPr>
            <w:rFonts w:ascii="Arial" w:hAnsi="Arial" w:cs="Arial"/>
            <w:noProof/>
            <w:webHidden/>
          </w:rPr>
          <w:fldChar w:fldCharType="end"/>
        </w:r>
      </w:hyperlink>
    </w:p>
    <w:p w14:paraId="51AEA9E6"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257D2F">
        <w:rPr>
          <w:rFonts w:ascii="Arial" w:hAnsi="Arial" w:cs="Arial"/>
          <w:sz w:val="22"/>
          <w:szCs w:val="22"/>
        </w:rPr>
        <w:fldChar w:fldCharType="end"/>
      </w:r>
    </w:p>
    <w:p w14:paraId="34B8BAF7"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2DE96A7A" w14:textId="77777777" w:rsidR="00BF6B07" w:rsidRPr="003560BD" w:rsidRDefault="00BF6B07">
      <w:pPr>
        <w:pStyle w:val="Heading1"/>
        <w:rPr>
          <w:rFonts w:ascii="Arial" w:hAnsi="Arial" w:cs="Arial"/>
          <w:sz w:val="22"/>
          <w:szCs w:val="22"/>
        </w:rPr>
      </w:pPr>
      <w:bookmarkStart w:id="8" w:name="_Toc483995358"/>
      <w:r w:rsidRPr="003560BD">
        <w:rPr>
          <w:rFonts w:ascii="Arial" w:hAnsi="Arial" w:cs="Arial"/>
          <w:sz w:val="22"/>
          <w:szCs w:val="22"/>
        </w:rPr>
        <w:lastRenderedPageBreak/>
        <w:t>SECTION I</w:t>
      </w:r>
      <w:bookmarkEnd w:id="7"/>
      <w:bookmarkEnd w:id="8"/>
    </w:p>
    <w:p w14:paraId="6EA68E81" w14:textId="77777777" w:rsidR="00BF6B07" w:rsidRPr="003560BD" w:rsidRDefault="00BF6B07">
      <w:pPr>
        <w:pStyle w:val="Heading2"/>
        <w:rPr>
          <w:rFonts w:ascii="Arial" w:hAnsi="Arial" w:cs="Arial"/>
          <w:sz w:val="22"/>
          <w:szCs w:val="22"/>
        </w:rPr>
      </w:pPr>
      <w:bookmarkStart w:id="9" w:name="_Toc483995359"/>
      <w:r w:rsidRPr="003560BD">
        <w:rPr>
          <w:rFonts w:ascii="Arial" w:hAnsi="Arial" w:cs="Arial"/>
          <w:sz w:val="22"/>
          <w:szCs w:val="22"/>
        </w:rPr>
        <w:t>SUBMISSION COVER SHEET &amp; CONFIGURATION SUMMARY</w:t>
      </w:r>
      <w:bookmarkEnd w:id="9"/>
    </w:p>
    <w:p w14:paraId="06B5CFF2" w14:textId="77777777" w:rsidR="00BF6B07" w:rsidRPr="003560BD" w:rsidRDefault="00BF6B07">
      <w:pPr>
        <w:rPr>
          <w:rFonts w:ascii="Arial" w:hAnsi="Arial" w:cs="Arial"/>
          <w:sz w:val="22"/>
          <w:szCs w:val="22"/>
        </w:rPr>
      </w:pPr>
    </w:p>
    <w:p w14:paraId="07F72BB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3055CDAC"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22D3CEAA" w14:textId="77777777">
        <w:tc>
          <w:tcPr>
            <w:tcW w:w="1230" w:type="dxa"/>
            <w:tcBorders>
              <w:top w:val="nil"/>
              <w:bottom w:val="nil"/>
            </w:tcBorders>
          </w:tcPr>
          <w:p w14:paraId="66C01B6B"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72E8D333" w14:textId="77777777" w:rsidR="00BF6B07" w:rsidRPr="003560BD" w:rsidRDefault="00BF6B07">
            <w:pPr>
              <w:rPr>
                <w:rFonts w:ascii="Arial" w:hAnsi="Arial" w:cs="Arial"/>
                <w:sz w:val="22"/>
                <w:szCs w:val="22"/>
              </w:rPr>
            </w:pPr>
          </w:p>
        </w:tc>
        <w:tc>
          <w:tcPr>
            <w:tcW w:w="1122" w:type="dxa"/>
            <w:tcBorders>
              <w:top w:val="nil"/>
              <w:bottom w:val="nil"/>
            </w:tcBorders>
          </w:tcPr>
          <w:p w14:paraId="68FB4AFA"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0B7857FA" w14:textId="77777777" w:rsidR="00BF6B07" w:rsidRPr="003560BD" w:rsidRDefault="00BF6B07">
            <w:pPr>
              <w:rPr>
                <w:rFonts w:ascii="Arial" w:hAnsi="Arial" w:cs="Arial"/>
                <w:sz w:val="22"/>
                <w:szCs w:val="22"/>
              </w:rPr>
            </w:pPr>
          </w:p>
        </w:tc>
      </w:tr>
      <w:tr w:rsidR="00BF6B07" w:rsidRPr="003560BD" w14:paraId="5FE417AB" w14:textId="77777777">
        <w:tc>
          <w:tcPr>
            <w:tcW w:w="1230" w:type="dxa"/>
            <w:tcBorders>
              <w:top w:val="nil"/>
              <w:bottom w:val="nil"/>
            </w:tcBorders>
          </w:tcPr>
          <w:p w14:paraId="32AC161E"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0ED945E2" w14:textId="77777777" w:rsidR="00BF6B07" w:rsidRPr="003560BD" w:rsidRDefault="00BF6B07">
            <w:pPr>
              <w:rPr>
                <w:rFonts w:ascii="Arial" w:hAnsi="Arial" w:cs="Arial"/>
                <w:sz w:val="22"/>
                <w:szCs w:val="22"/>
              </w:rPr>
            </w:pPr>
          </w:p>
        </w:tc>
        <w:tc>
          <w:tcPr>
            <w:tcW w:w="1122" w:type="dxa"/>
            <w:tcBorders>
              <w:top w:val="nil"/>
              <w:bottom w:val="nil"/>
            </w:tcBorders>
          </w:tcPr>
          <w:p w14:paraId="405A9F6E"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6FA31EDE" w14:textId="77777777" w:rsidR="00BF6B07" w:rsidRPr="003560BD" w:rsidRDefault="00BF6B07">
            <w:pPr>
              <w:rPr>
                <w:rFonts w:ascii="Arial" w:hAnsi="Arial" w:cs="Arial"/>
                <w:sz w:val="22"/>
                <w:szCs w:val="22"/>
              </w:rPr>
            </w:pPr>
          </w:p>
        </w:tc>
      </w:tr>
      <w:tr w:rsidR="00BF6B07" w:rsidRPr="003560BD" w14:paraId="4D99A825" w14:textId="77777777">
        <w:tc>
          <w:tcPr>
            <w:tcW w:w="1230" w:type="dxa"/>
            <w:tcBorders>
              <w:top w:val="nil"/>
              <w:bottom w:val="nil"/>
            </w:tcBorders>
          </w:tcPr>
          <w:p w14:paraId="4C6CE00D" w14:textId="77777777" w:rsidR="00BF6B07" w:rsidRPr="003560BD" w:rsidRDefault="00BF6B07">
            <w:pPr>
              <w:rPr>
                <w:rFonts w:ascii="Arial" w:hAnsi="Arial" w:cs="Arial"/>
                <w:sz w:val="22"/>
                <w:szCs w:val="22"/>
              </w:rPr>
            </w:pPr>
          </w:p>
        </w:tc>
        <w:tc>
          <w:tcPr>
            <w:tcW w:w="3553" w:type="dxa"/>
          </w:tcPr>
          <w:p w14:paraId="07DC1FE7" w14:textId="77777777" w:rsidR="00BF6B07" w:rsidRPr="003560BD" w:rsidRDefault="00BF6B07">
            <w:pPr>
              <w:rPr>
                <w:rFonts w:ascii="Arial" w:hAnsi="Arial" w:cs="Arial"/>
                <w:sz w:val="22"/>
                <w:szCs w:val="22"/>
              </w:rPr>
            </w:pPr>
          </w:p>
        </w:tc>
        <w:tc>
          <w:tcPr>
            <w:tcW w:w="1122" w:type="dxa"/>
            <w:tcBorders>
              <w:top w:val="nil"/>
              <w:bottom w:val="nil"/>
            </w:tcBorders>
          </w:tcPr>
          <w:p w14:paraId="22C097D8"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518DF26A" w14:textId="77777777" w:rsidR="00BF6B07" w:rsidRPr="003560BD" w:rsidRDefault="00BF6B07">
            <w:pPr>
              <w:rPr>
                <w:rFonts w:ascii="Arial" w:hAnsi="Arial" w:cs="Arial"/>
                <w:sz w:val="22"/>
                <w:szCs w:val="22"/>
              </w:rPr>
            </w:pPr>
          </w:p>
        </w:tc>
      </w:tr>
    </w:tbl>
    <w:p w14:paraId="1AD472E7" w14:textId="77777777" w:rsidR="00BF6B07" w:rsidRPr="003560BD" w:rsidRDefault="00BF6B07">
      <w:pPr>
        <w:rPr>
          <w:rFonts w:ascii="Arial" w:hAnsi="Arial" w:cs="Arial"/>
          <w:sz w:val="22"/>
          <w:szCs w:val="22"/>
        </w:rPr>
      </w:pPr>
    </w:p>
    <w:p w14:paraId="6348CB2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7AA58834" w14:textId="77777777" w:rsidR="00BF6B07" w:rsidRPr="003560BD" w:rsidRDefault="00BF6B07">
      <w:pPr>
        <w:rPr>
          <w:rFonts w:ascii="Arial" w:hAnsi="Arial" w:cs="Arial"/>
          <w:sz w:val="22"/>
          <w:szCs w:val="22"/>
        </w:rPr>
      </w:pPr>
    </w:p>
    <w:p w14:paraId="3B671D37"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7DD8973A" w14:textId="77777777"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14:paraId="48001590" w14:textId="77777777">
        <w:tc>
          <w:tcPr>
            <w:tcW w:w="2539" w:type="dxa"/>
            <w:tcBorders>
              <w:top w:val="nil"/>
              <w:left w:val="nil"/>
              <w:bottom w:val="nil"/>
              <w:right w:val="nil"/>
            </w:tcBorders>
          </w:tcPr>
          <w:p w14:paraId="792E7A83"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14:paraId="071EE9E8" w14:textId="77777777" w:rsidR="00BF6B07" w:rsidRPr="003560BD" w:rsidRDefault="00BF6B07">
            <w:pPr>
              <w:rPr>
                <w:rFonts w:ascii="Arial" w:hAnsi="Arial" w:cs="Arial"/>
                <w:sz w:val="22"/>
                <w:szCs w:val="22"/>
              </w:rPr>
            </w:pPr>
          </w:p>
        </w:tc>
      </w:tr>
      <w:tr w:rsidR="00BF6B07" w:rsidRPr="003560BD" w14:paraId="63ED47EC" w14:textId="77777777">
        <w:tc>
          <w:tcPr>
            <w:tcW w:w="2539" w:type="dxa"/>
            <w:tcBorders>
              <w:top w:val="nil"/>
              <w:left w:val="nil"/>
              <w:bottom w:val="nil"/>
              <w:right w:val="nil"/>
            </w:tcBorders>
          </w:tcPr>
          <w:p w14:paraId="46481C90"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14:paraId="577CA5B0" w14:textId="77777777" w:rsidR="00BF6B07" w:rsidRPr="003560BD" w:rsidRDefault="00BF6B07">
            <w:pPr>
              <w:rPr>
                <w:rFonts w:ascii="Arial" w:hAnsi="Arial" w:cs="Arial"/>
                <w:sz w:val="22"/>
                <w:szCs w:val="22"/>
              </w:rPr>
            </w:pPr>
          </w:p>
        </w:tc>
      </w:tr>
      <w:tr w:rsidR="00BF6B07" w:rsidRPr="003560BD" w14:paraId="2C35685D" w14:textId="77777777">
        <w:tc>
          <w:tcPr>
            <w:tcW w:w="2539" w:type="dxa"/>
            <w:tcBorders>
              <w:top w:val="nil"/>
              <w:left w:val="nil"/>
              <w:bottom w:val="nil"/>
              <w:right w:val="nil"/>
            </w:tcBorders>
          </w:tcPr>
          <w:p w14:paraId="20ED13A9"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4217F597" w14:textId="77777777" w:rsidR="00BF6B07" w:rsidRPr="003560BD" w:rsidRDefault="00BF6B07">
            <w:pPr>
              <w:rPr>
                <w:rFonts w:ascii="Arial" w:hAnsi="Arial" w:cs="Arial"/>
                <w:sz w:val="22"/>
                <w:szCs w:val="22"/>
              </w:rPr>
            </w:pPr>
          </w:p>
        </w:tc>
      </w:tr>
      <w:tr w:rsidR="00BF6B07" w:rsidRPr="003560BD" w14:paraId="74A8E1C3" w14:textId="77777777">
        <w:tc>
          <w:tcPr>
            <w:tcW w:w="2539" w:type="dxa"/>
            <w:tcBorders>
              <w:top w:val="nil"/>
              <w:left w:val="nil"/>
              <w:bottom w:val="nil"/>
              <w:right w:val="nil"/>
            </w:tcBorders>
          </w:tcPr>
          <w:p w14:paraId="17F18EB4"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28FC5DD8" w14:textId="77777777" w:rsidR="00BF6B07" w:rsidRPr="003560BD" w:rsidRDefault="00BF6B07">
            <w:pPr>
              <w:rPr>
                <w:rFonts w:ascii="Arial" w:hAnsi="Arial" w:cs="Arial"/>
                <w:sz w:val="22"/>
                <w:szCs w:val="22"/>
                <w:highlight w:val="yellow"/>
              </w:rPr>
            </w:pPr>
          </w:p>
        </w:tc>
      </w:tr>
      <w:tr w:rsidR="00BF6B07" w:rsidRPr="003560BD" w14:paraId="021FF4A7" w14:textId="77777777">
        <w:tc>
          <w:tcPr>
            <w:tcW w:w="2539" w:type="dxa"/>
            <w:tcBorders>
              <w:top w:val="nil"/>
              <w:left w:val="nil"/>
              <w:bottom w:val="nil"/>
              <w:right w:val="nil"/>
            </w:tcBorders>
          </w:tcPr>
          <w:p w14:paraId="0DE9DBD2" w14:textId="77777777"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5FA2C301" w14:textId="77777777" w:rsidR="00BF6B07" w:rsidRPr="003560BD" w:rsidRDefault="00BF6B07">
            <w:pPr>
              <w:rPr>
                <w:rFonts w:ascii="Arial" w:hAnsi="Arial" w:cs="Arial"/>
                <w:sz w:val="22"/>
                <w:szCs w:val="22"/>
                <w:highlight w:val="yellow"/>
              </w:rPr>
            </w:pPr>
          </w:p>
        </w:tc>
      </w:tr>
      <w:tr w:rsidR="00BF6B07" w:rsidRPr="003560BD" w14:paraId="20F0464F" w14:textId="77777777">
        <w:tc>
          <w:tcPr>
            <w:tcW w:w="2539" w:type="dxa"/>
            <w:tcBorders>
              <w:top w:val="nil"/>
              <w:left w:val="nil"/>
              <w:bottom w:val="nil"/>
              <w:right w:val="nil"/>
            </w:tcBorders>
          </w:tcPr>
          <w:p w14:paraId="1EF964BD"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609A77BC" w14:textId="77777777" w:rsidR="00BF6B07" w:rsidRPr="003560BD" w:rsidRDefault="00BF6B07">
            <w:pPr>
              <w:rPr>
                <w:rFonts w:ascii="Arial" w:hAnsi="Arial" w:cs="Arial"/>
                <w:sz w:val="22"/>
                <w:szCs w:val="22"/>
                <w:highlight w:val="yellow"/>
              </w:rPr>
            </w:pPr>
          </w:p>
        </w:tc>
      </w:tr>
    </w:tbl>
    <w:p w14:paraId="3CC60477" w14:textId="77777777" w:rsidR="00BF6B07" w:rsidRPr="003560BD" w:rsidRDefault="00BF6B07">
      <w:pPr>
        <w:pBdr>
          <w:bottom w:val="triple" w:sz="4" w:space="1" w:color="auto"/>
        </w:pBdr>
        <w:rPr>
          <w:rFonts w:ascii="Arial" w:hAnsi="Arial" w:cs="Arial"/>
          <w:sz w:val="22"/>
          <w:szCs w:val="22"/>
        </w:rPr>
      </w:pPr>
    </w:p>
    <w:p w14:paraId="13A612D0" w14:textId="77777777" w:rsidR="00BF6B07" w:rsidRPr="003560BD" w:rsidRDefault="00BF6B07">
      <w:pPr>
        <w:rPr>
          <w:rFonts w:ascii="Arial" w:hAnsi="Arial" w:cs="Arial"/>
          <w:sz w:val="22"/>
          <w:szCs w:val="22"/>
        </w:rPr>
      </w:pPr>
    </w:p>
    <w:p w14:paraId="652C7746"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75E89DBB" w14:textId="77777777" w:rsidR="00BF6B07" w:rsidRPr="003560BD" w:rsidRDefault="00BF6B07">
      <w:pPr>
        <w:jc w:val="center"/>
        <w:rPr>
          <w:rFonts w:ascii="Arial" w:hAnsi="Arial" w:cs="Arial"/>
          <w:sz w:val="22"/>
          <w:szCs w:val="22"/>
        </w:rPr>
      </w:pPr>
    </w:p>
    <w:p w14:paraId="77F7FEF3" w14:textId="77777777" w:rsidR="00BF6B07" w:rsidRPr="003560BD" w:rsidRDefault="00765C4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1D51F467" wp14:editId="6C19CC36">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6D13339A" w14:textId="77777777" w:rsidR="00D37800" w:rsidRDefault="00D37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1F467"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14:paraId="6D13339A" w14:textId="77777777" w:rsidR="00D37800" w:rsidRDefault="00D37800"/>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7FFC9F64" w14:textId="77777777" w:rsidR="00BF6B07" w:rsidRPr="003560BD" w:rsidRDefault="00BF6B07">
      <w:pPr>
        <w:rPr>
          <w:rFonts w:ascii="Arial" w:hAnsi="Arial" w:cs="Arial"/>
          <w:sz w:val="22"/>
          <w:szCs w:val="22"/>
        </w:rPr>
      </w:pPr>
      <w:bookmarkStart w:id="10" w:name="_Toc49239622"/>
    </w:p>
    <w:p w14:paraId="197BCDEB"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483995360"/>
      <w:r w:rsidRPr="003560BD">
        <w:rPr>
          <w:rFonts w:ascii="Arial" w:hAnsi="Arial" w:cs="Arial"/>
          <w:sz w:val="22"/>
          <w:szCs w:val="22"/>
        </w:rPr>
        <w:lastRenderedPageBreak/>
        <w:t>PROPOSAL BONDS</w:t>
      </w:r>
      <w:bookmarkEnd w:id="11"/>
    </w:p>
    <w:p w14:paraId="3D977D53" w14:textId="77777777" w:rsidR="00BF6B07" w:rsidRPr="003560BD" w:rsidRDefault="00BF6B07">
      <w:pPr>
        <w:rPr>
          <w:rFonts w:ascii="Arial" w:hAnsi="Arial" w:cs="Arial"/>
          <w:sz w:val="22"/>
          <w:szCs w:val="22"/>
        </w:rPr>
      </w:pPr>
    </w:p>
    <w:p w14:paraId="77AFA188" w14:textId="77777777" w:rsidR="001528E8" w:rsidRPr="003560BD" w:rsidRDefault="001528E8" w:rsidP="001528E8">
      <w:pPr>
        <w:pStyle w:val="StyleTOC112pt"/>
        <w:rPr>
          <w:rFonts w:ascii="Arial" w:hAnsi="Arial" w:cs="Arial"/>
          <w:sz w:val="22"/>
          <w:szCs w:val="22"/>
        </w:rPr>
      </w:pPr>
      <w:r w:rsidRPr="00F91FD7">
        <w:rPr>
          <w:rFonts w:ascii="Arial" w:hAnsi="Arial" w:cs="Arial"/>
          <w:sz w:val="22"/>
          <w:szCs w:val="22"/>
        </w:rPr>
        <w:t>A Proposal Bond is not required for this procurement.</w:t>
      </w:r>
    </w:p>
    <w:p w14:paraId="27D4CA14" w14:textId="77777777"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29593BDB" w14:textId="77777777" w:rsidR="00BF6B07" w:rsidRPr="003560BD" w:rsidRDefault="00BF6B07">
      <w:pPr>
        <w:pStyle w:val="Heading1"/>
        <w:rPr>
          <w:rFonts w:ascii="Arial" w:hAnsi="Arial" w:cs="Arial"/>
          <w:sz w:val="22"/>
          <w:szCs w:val="22"/>
        </w:rPr>
      </w:pPr>
      <w:bookmarkStart w:id="12" w:name="_Toc483995361"/>
      <w:r w:rsidRPr="003560BD">
        <w:rPr>
          <w:rFonts w:ascii="Arial" w:hAnsi="Arial" w:cs="Arial"/>
          <w:sz w:val="22"/>
          <w:szCs w:val="22"/>
        </w:rPr>
        <w:lastRenderedPageBreak/>
        <w:t>SECTION II</w:t>
      </w:r>
      <w:bookmarkEnd w:id="10"/>
      <w:bookmarkEnd w:id="12"/>
    </w:p>
    <w:p w14:paraId="5F5A0B30" w14:textId="77777777" w:rsidR="00BF6B07" w:rsidRPr="003560BD" w:rsidRDefault="00BF6B07">
      <w:pPr>
        <w:pStyle w:val="Heading2"/>
        <w:rPr>
          <w:rFonts w:ascii="Arial" w:hAnsi="Arial" w:cs="Arial"/>
          <w:sz w:val="22"/>
          <w:szCs w:val="22"/>
        </w:rPr>
      </w:pPr>
      <w:bookmarkStart w:id="13" w:name="_Toc483995362"/>
      <w:r w:rsidRPr="003560BD">
        <w:rPr>
          <w:rFonts w:ascii="Arial" w:hAnsi="Arial" w:cs="Arial"/>
          <w:sz w:val="22"/>
          <w:szCs w:val="22"/>
        </w:rPr>
        <w:t>PROPOSAL SUBMISSION REQUIREMENTS</w:t>
      </w:r>
      <w:bookmarkEnd w:id="13"/>
    </w:p>
    <w:p w14:paraId="1C6C06FB" w14:textId="77777777" w:rsidR="00BF6B07" w:rsidRPr="003560BD" w:rsidRDefault="00BF6B07">
      <w:pPr>
        <w:rPr>
          <w:rFonts w:ascii="Arial" w:hAnsi="Arial" w:cs="Arial"/>
          <w:sz w:val="22"/>
          <w:szCs w:val="22"/>
        </w:rPr>
      </w:pPr>
    </w:p>
    <w:p w14:paraId="77549D2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041DD66F" w14:textId="77777777" w:rsidR="00BF6B07" w:rsidRPr="003560BD" w:rsidRDefault="00BF6B07" w:rsidP="00BF6B07">
      <w:pPr>
        <w:pStyle w:val="Level1"/>
        <w:jc w:val="both"/>
        <w:rPr>
          <w:rFonts w:ascii="Arial" w:hAnsi="Arial" w:cs="Arial"/>
          <w:sz w:val="22"/>
          <w:szCs w:val="22"/>
        </w:rPr>
      </w:pPr>
      <w:bookmarkStart w:id="14" w:name="_Toc49239623"/>
      <w:r w:rsidRPr="003560BD">
        <w:rPr>
          <w:rFonts w:ascii="Arial" w:hAnsi="Arial" w:cs="Arial"/>
          <w:sz w:val="22"/>
          <w:szCs w:val="22"/>
        </w:rPr>
        <w:t>Failure to follow any instruction within this RFP may, at the State’s sole discretion, result in the disqualification of the Vendor’s proposal.</w:t>
      </w:r>
      <w:bookmarkStart w:id="15" w:name="_Toc49239624"/>
      <w:bookmarkEnd w:id="14"/>
    </w:p>
    <w:p w14:paraId="07B81E25"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5"/>
    </w:p>
    <w:p w14:paraId="3D691F4C" w14:textId="77777777" w:rsidR="00BF6B07" w:rsidRPr="003560BD" w:rsidRDefault="00BF6B07" w:rsidP="00BF6B07">
      <w:pPr>
        <w:pStyle w:val="Level1"/>
        <w:jc w:val="both"/>
        <w:rPr>
          <w:rFonts w:ascii="Arial" w:hAnsi="Arial" w:cs="Arial"/>
          <w:sz w:val="22"/>
          <w:szCs w:val="22"/>
        </w:rPr>
      </w:pPr>
      <w:bookmarkStart w:id="16"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6"/>
      <w:r w:rsidR="00167BF9" w:rsidRPr="003560BD">
        <w:rPr>
          <w:rFonts w:ascii="Arial" w:hAnsi="Arial" w:cs="Arial"/>
          <w:sz w:val="22"/>
          <w:szCs w:val="22"/>
        </w:rPr>
        <w:t xml:space="preserve"> Any proposal received with insufficient postage will be returned unopened.</w:t>
      </w:r>
    </w:p>
    <w:p w14:paraId="04E286BF" w14:textId="77777777" w:rsidR="00BF6B07" w:rsidRPr="003560BD" w:rsidRDefault="00BF6B07" w:rsidP="00BF6B07">
      <w:pPr>
        <w:pStyle w:val="Level1"/>
        <w:jc w:val="both"/>
        <w:rPr>
          <w:rFonts w:ascii="Arial" w:hAnsi="Arial" w:cs="Arial"/>
          <w:sz w:val="22"/>
          <w:szCs w:val="22"/>
        </w:rPr>
      </w:pPr>
      <w:bookmarkStart w:id="17" w:name="_Toc49239627"/>
      <w:r w:rsidRPr="003560BD">
        <w:rPr>
          <w:rFonts w:ascii="Arial" w:hAnsi="Arial" w:cs="Arial"/>
          <w:sz w:val="22"/>
          <w:szCs w:val="22"/>
        </w:rPr>
        <w:t>Proposals or alterations by fax, e-mail, or phone will not be accepted.</w:t>
      </w:r>
      <w:bookmarkEnd w:id="17"/>
    </w:p>
    <w:p w14:paraId="01580297" w14:textId="77777777" w:rsidR="00BF6B07" w:rsidRPr="003560BD" w:rsidRDefault="00BF6B07" w:rsidP="00BF6B07">
      <w:pPr>
        <w:pStyle w:val="Level1"/>
        <w:jc w:val="both"/>
        <w:rPr>
          <w:rFonts w:ascii="Arial" w:hAnsi="Arial" w:cs="Arial"/>
          <w:sz w:val="22"/>
          <w:szCs w:val="22"/>
        </w:rPr>
      </w:pPr>
      <w:bookmarkStart w:id="18"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8"/>
    </w:p>
    <w:p w14:paraId="28680CFC" w14:textId="77777777" w:rsidR="00BF6B07" w:rsidRPr="003560BD" w:rsidRDefault="00BF6B07" w:rsidP="00BF6B07">
      <w:pPr>
        <w:pStyle w:val="Level1"/>
        <w:jc w:val="both"/>
        <w:rPr>
          <w:rFonts w:ascii="Arial" w:hAnsi="Arial" w:cs="Arial"/>
          <w:sz w:val="22"/>
          <w:szCs w:val="22"/>
        </w:rPr>
      </w:pPr>
      <w:bookmarkStart w:id="19"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9"/>
    </w:p>
    <w:p w14:paraId="3AC6E6E1" w14:textId="77777777" w:rsidR="00BF6B07" w:rsidRPr="003560BD" w:rsidRDefault="00BF6B07" w:rsidP="00BF6B07">
      <w:pPr>
        <w:pStyle w:val="Level1"/>
        <w:jc w:val="both"/>
        <w:rPr>
          <w:rFonts w:ascii="Arial" w:hAnsi="Arial" w:cs="Arial"/>
          <w:sz w:val="22"/>
          <w:szCs w:val="22"/>
        </w:rPr>
      </w:pPr>
      <w:bookmarkStart w:id="20"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0"/>
    </w:p>
    <w:p w14:paraId="7B942814" w14:textId="77777777" w:rsidR="00E6789D" w:rsidRPr="003560BD" w:rsidRDefault="00BF6B07" w:rsidP="00BF6B07">
      <w:pPr>
        <w:pStyle w:val="Level1"/>
        <w:jc w:val="both"/>
        <w:rPr>
          <w:rFonts w:ascii="Arial" w:hAnsi="Arial" w:cs="Arial"/>
          <w:sz w:val="22"/>
          <w:szCs w:val="22"/>
        </w:rPr>
      </w:pPr>
      <w:bookmarkStart w:id="21"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2" w:name="_Toc49239633"/>
      <w:bookmarkEnd w:id="21"/>
    </w:p>
    <w:p w14:paraId="7DD283CB"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2"/>
    </w:p>
    <w:p w14:paraId="1016FEC1" w14:textId="77777777" w:rsidR="00BF6B07" w:rsidRPr="003560BD" w:rsidRDefault="00BF6B07" w:rsidP="00635AD0">
      <w:pPr>
        <w:pStyle w:val="Level2"/>
      </w:pPr>
      <w:bookmarkStart w:id="23" w:name="_Toc49239634"/>
      <w:r w:rsidRPr="003560BD">
        <w:t xml:space="preserve">The Vendor is required to submit one clearly marked original response and </w:t>
      </w:r>
      <w:r w:rsidRPr="00883216">
        <w:fldChar w:fldCharType="begin"/>
      </w:r>
      <w:r w:rsidRPr="00E25C3B">
        <w:instrText xml:space="preserve"> ASK Copies "Enter the number of proposal copies the Vendor is required to submit (Ex. four (4))" \* MERGEFORMAT </w:instrText>
      </w:r>
      <w:r w:rsidRPr="00883216">
        <w:fldChar w:fldCharType="separate"/>
      </w:r>
      <w:bookmarkStart w:id="24" w:name="Copies"/>
      <w:r w:rsidR="002B69E0" w:rsidRPr="00E25C3B">
        <w:t>4</w:t>
      </w:r>
      <w:bookmarkEnd w:id="24"/>
      <w:r w:rsidRPr="00883216">
        <w:fldChar w:fldCharType="end"/>
      </w:r>
      <w:r w:rsidR="00460508">
        <w:t>five (5) identical c</w:t>
      </w:r>
      <w:r w:rsidRPr="003560BD">
        <w:t>opies of the complete proposal, including all sections and exhibits, in three-ring binders</w:t>
      </w:r>
      <w:bookmarkEnd w:id="23"/>
      <w:r w:rsidRPr="003560BD">
        <w:t>.</w:t>
      </w:r>
    </w:p>
    <w:p w14:paraId="5D37FD44" w14:textId="77777777" w:rsidR="00BF6B07" w:rsidRPr="003560BD" w:rsidRDefault="00BF6B07" w:rsidP="00635AD0">
      <w:pPr>
        <w:pStyle w:val="Level2"/>
      </w:pPr>
      <w:bookmarkStart w:id="25" w:name="_Toc49239635"/>
      <w:r w:rsidRPr="003560BD">
        <w:t>To prevent opening by unauthorized individuals, all copies of the proposal must be sealed in the package</w:t>
      </w:r>
      <w:r w:rsidR="00E25C3B">
        <w:t>.</w:t>
      </w:r>
      <w:r w:rsidRPr="003560BD">
        <w:t xml:space="preserve"> A label containing the information on the RFP cover page must be clearly typed and affixed to the package in a clearly visible location.</w:t>
      </w:r>
    </w:p>
    <w:p w14:paraId="47FBFAA9" w14:textId="77777777" w:rsidR="00BF6B07" w:rsidRPr="003560BD" w:rsidRDefault="00BF6B07" w:rsidP="00635AD0">
      <w:pPr>
        <w:pStyle w:val="Level2"/>
      </w:pPr>
      <w:r w:rsidRPr="003560BD">
        <w:lastRenderedPageBreak/>
        <w:t>Number each page of the proposal.</w:t>
      </w:r>
      <w:bookmarkEnd w:id="25"/>
    </w:p>
    <w:p w14:paraId="28CC00E2" w14:textId="77777777" w:rsidR="00BF6B07" w:rsidRPr="003560BD" w:rsidRDefault="00BF6B07" w:rsidP="00635AD0">
      <w:pPr>
        <w:pStyle w:val="Level2"/>
      </w:pPr>
      <w:bookmarkStart w:id="26" w:name="_Toc49239636"/>
      <w:r w:rsidRPr="003560BD">
        <w:t>Respond to the sections and exhibits in the same order as this RFP.</w:t>
      </w:r>
      <w:bookmarkEnd w:id="26"/>
    </w:p>
    <w:p w14:paraId="354AAFA0" w14:textId="77777777" w:rsidR="00BF6B07" w:rsidRPr="003560BD" w:rsidRDefault="00BF6B07" w:rsidP="00635AD0">
      <w:pPr>
        <w:pStyle w:val="Level2"/>
      </w:pPr>
      <w:bookmarkStart w:id="27" w:name="_Toc49239637"/>
      <w:r w:rsidRPr="003560BD">
        <w:t>Label and tab the responses to each section and exhibit, using the corresponding headings from the RFP.</w:t>
      </w:r>
      <w:bookmarkEnd w:id="27"/>
    </w:p>
    <w:p w14:paraId="0D405895" w14:textId="77777777" w:rsidR="00BF6B07" w:rsidRPr="003560BD" w:rsidRDefault="00BF6B07" w:rsidP="00635AD0">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7892FC3B" w14:textId="77777777" w:rsidR="00BF6B07" w:rsidRPr="003560BD" w:rsidRDefault="00BF6B07" w:rsidP="00635AD0">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39E354CD" w14:textId="77777777" w:rsidR="00BF6B07" w:rsidRPr="003560BD" w:rsidRDefault="00BF6B07" w:rsidP="00635AD0">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61390F91" w14:textId="77777777" w:rsidR="00BF6B07" w:rsidRPr="003560BD" w:rsidRDefault="00BF6B07" w:rsidP="00635AD0">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6517185F" w14:textId="77777777" w:rsidR="00BF6B07" w:rsidRPr="003560BD" w:rsidRDefault="00BF6B07" w:rsidP="00635AD0">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420EE787" w14:textId="77777777" w:rsidR="00BF6B07" w:rsidRPr="003560BD" w:rsidRDefault="00BF6B07" w:rsidP="00635AD0">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50D4F8EA" w14:textId="77777777"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155DFECE"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5204D77D"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1ECBA829"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05FEE6E5" w14:textId="77777777" w:rsidR="00BF6B07" w:rsidRPr="003560BD" w:rsidRDefault="00BF6B07" w:rsidP="00635AD0">
      <w:pPr>
        <w:pStyle w:val="Level2"/>
      </w:pPr>
      <w:r w:rsidRPr="003560BD">
        <w:t>A clarification to a proposal that includes a newly announced product line or service with equal or additional capability to be provided at or less than the proposed price will be considered.</w:t>
      </w:r>
    </w:p>
    <w:p w14:paraId="1EEC82EF" w14:textId="77777777" w:rsidR="00BF6B07" w:rsidRPr="003560BD" w:rsidRDefault="00BF6B07" w:rsidP="00635AD0">
      <w:pPr>
        <w:pStyle w:val="Level2"/>
      </w:pPr>
      <w:r w:rsidRPr="003560BD">
        <w:t>Information provided must be in effect nationally and have been formally and publicly announced through a news medium that the Vendor normally uses to convey customer information.</w:t>
      </w:r>
    </w:p>
    <w:p w14:paraId="7267D6F3" w14:textId="77777777" w:rsidR="00BF6B07" w:rsidRPr="003560BD" w:rsidRDefault="00BF6B07" w:rsidP="00635AD0">
      <w:pPr>
        <w:pStyle w:val="Level2"/>
      </w:pPr>
      <w:r w:rsidRPr="003560BD">
        <w:t>Clarifications must be received early enough in the evaluation process to allow adequate time for re-evaluation.</w:t>
      </w:r>
    </w:p>
    <w:p w14:paraId="14AE1719" w14:textId="77777777" w:rsidR="00BF6B07" w:rsidRPr="003560BD" w:rsidRDefault="00BF6B07" w:rsidP="00635AD0">
      <w:pPr>
        <w:pStyle w:val="Level2"/>
      </w:pPr>
      <w:r w:rsidRPr="003560BD">
        <w:t>The Vendor must follow procedures outlined herein for submitting updates and clarifications.</w:t>
      </w:r>
    </w:p>
    <w:p w14:paraId="75B8E66E" w14:textId="77777777" w:rsidR="00BF6B07" w:rsidRPr="003560BD" w:rsidRDefault="00BF6B07" w:rsidP="00635AD0">
      <w:pPr>
        <w:pStyle w:val="Level2"/>
      </w:pPr>
      <w:r w:rsidRPr="003560BD">
        <w:t>The Vendor must submit a statement outlining the circumstances for the clarification.</w:t>
      </w:r>
    </w:p>
    <w:p w14:paraId="516D0DAF" w14:textId="64A33E31" w:rsidR="00BF6B07" w:rsidRPr="003560BD" w:rsidRDefault="00BF6B07" w:rsidP="00635AD0">
      <w:pPr>
        <w:pStyle w:val="Level2"/>
      </w:pPr>
      <w:r w:rsidRPr="003560BD">
        <w:t xml:space="preserve">The Vendor must submit one clearly marked original and </w:t>
      </w:r>
      <w:r w:rsidRPr="00A21646">
        <w:fldChar w:fldCharType="begin"/>
      </w:r>
      <w:r w:rsidRPr="00E25C3B">
        <w:instrText xml:space="preserve"> REF Copies  \* CHARFORMAT </w:instrText>
      </w:r>
      <w:r w:rsidR="00774B6E" w:rsidRPr="00E25C3B">
        <w:instrText xml:space="preserve"> \* MERGEFORMAT </w:instrText>
      </w:r>
      <w:r w:rsidRPr="00A21646">
        <w:fldChar w:fldCharType="separate"/>
      </w:r>
      <w:r w:rsidR="00974D97" w:rsidRPr="00974D97">
        <w:rPr>
          <w:bCs/>
        </w:rPr>
        <w:t>4</w:t>
      </w:r>
      <w:r w:rsidRPr="00A21646">
        <w:fldChar w:fldCharType="end"/>
      </w:r>
      <w:r w:rsidRPr="003560BD">
        <w:t xml:space="preserve"> </w:t>
      </w:r>
      <w:r w:rsidRPr="00F91FD7">
        <w:t>copies</w:t>
      </w:r>
      <w:r w:rsidRPr="003560BD">
        <w:t xml:space="preserve"> of the clarification.</w:t>
      </w:r>
    </w:p>
    <w:p w14:paraId="5FB2D900" w14:textId="77777777" w:rsidR="00BF6B07" w:rsidRPr="003560BD" w:rsidRDefault="00BF6B07" w:rsidP="00635AD0">
      <w:pPr>
        <w:pStyle w:val="Level2"/>
      </w:pPr>
      <w:r w:rsidRPr="003560BD">
        <w:t>The Vendor must be specific about which part of the original proposal is being changed by the clarification (i.e., must include exact RFP reference to section and outline point).</w:t>
      </w:r>
    </w:p>
    <w:p w14:paraId="6B3BBA73" w14:textId="77777777"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6D6CCBB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01D0ABD0" w14:textId="77777777" w:rsidR="00BF6B07" w:rsidRPr="003560BD" w:rsidRDefault="00BF6B07" w:rsidP="00635AD0">
      <w:pPr>
        <w:pStyle w:val="Level2"/>
        <w:rPr>
          <w:color w:val="000000"/>
        </w:rPr>
      </w:pPr>
      <w:r w:rsidRPr="003560BD">
        <w:t xml:space="preserve">The State’s contact person for the selection process is: </w:t>
      </w:r>
      <w:r w:rsidR="004A01A0">
        <w:t>Michelle Smith</w:t>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004A01A0">
        <w:t>8057</w:t>
      </w:r>
      <w:r w:rsidRPr="003560BD">
        <w:t xml:space="preserve">, </w:t>
      </w:r>
      <w:r w:rsidR="000431B0">
        <w:t>Michelle.Smith</w:t>
      </w:r>
      <w:r w:rsidRPr="004A01A0">
        <w:t>@its.ms.gov.</w:t>
      </w:r>
      <w:r w:rsidRPr="003560BD">
        <w:t xml:space="preserve">  </w:t>
      </w:r>
    </w:p>
    <w:p w14:paraId="3D5C0D2D" w14:textId="77777777" w:rsidR="00BF6B07" w:rsidRPr="003560BD" w:rsidRDefault="00BF6B07" w:rsidP="00635AD0">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0F723D30" w14:textId="77777777" w:rsidR="00BF6B07" w:rsidRPr="003560BD" w:rsidRDefault="00BF6B07" w:rsidP="00635AD0">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2CA209A5" w14:textId="77777777" w:rsidR="00BF6B07" w:rsidRPr="003560BD" w:rsidRDefault="00BF6B07">
      <w:pPr>
        <w:pStyle w:val="Heading1"/>
        <w:rPr>
          <w:rFonts w:ascii="Arial" w:hAnsi="Arial" w:cs="Arial"/>
          <w:sz w:val="22"/>
          <w:szCs w:val="22"/>
        </w:rPr>
      </w:pPr>
      <w:bookmarkStart w:id="39" w:name="_Toc49239653"/>
      <w:bookmarkStart w:id="40" w:name="_Toc483995363"/>
      <w:r w:rsidRPr="003560BD">
        <w:rPr>
          <w:rFonts w:ascii="Arial" w:hAnsi="Arial" w:cs="Arial"/>
          <w:sz w:val="22"/>
          <w:szCs w:val="22"/>
        </w:rPr>
        <w:lastRenderedPageBreak/>
        <w:t>SECTION III</w:t>
      </w:r>
      <w:bookmarkEnd w:id="39"/>
      <w:bookmarkEnd w:id="40"/>
    </w:p>
    <w:p w14:paraId="5F58C30D" w14:textId="77777777" w:rsidR="00BF6B07" w:rsidRPr="003560BD" w:rsidRDefault="00BF6B07">
      <w:pPr>
        <w:pStyle w:val="Heading2"/>
        <w:rPr>
          <w:rFonts w:ascii="Arial" w:hAnsi="Arial" w:cs="Arial"/>
          <w:sz w:val="22"/>
          <w:szCs w:val="22"/>
        </w:rPr>
      </w:pPr>
      <w:bookmarkStart w:id="41" w:name="_Toc483995364"/>
      <w:r w:rsidRPr="003560BD">
        <w:rPr>
          <w:rFonts w:ascii="Arial" w:hAnsi="Arial" w:cs="Arial"/>
          <w:sz w:val="22"/>
          <w:szCs w:val="22"/>
        </w:rPr>
        <w:t>VENDOR INFORMATION</w:t>
      </w:r>
      <w:bookmarkEnd w:id="41"/>
    </w:p>
    <w:p w14:paraId="6B3FA7D5" w14:textId="77777777" w:rsidR="00BF6B07" w:rsidRPr="003560BD" w:rsidRDefault="00BF6B07">
      <w:pPr>
        <w:rPr>
          <w:rFonts w:ascii="Arial" w:hAnsi="Arial" w:cs="Arial"/>
          <w:sz w:val="22"/>
          <w:szCs w:val="22"/>
        </w:rPr>
      </w:pPr>
    </w:p>
    <w:p w14:paraId="0416759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6CAADCC7"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71E4A8D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C2E2555"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415B170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5E8E5535"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1567B5E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46BA7573"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7A389364"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677B62A1"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0383ABB5" w14:textId="77777777" w:rsidR="00BF6B07" w:rsidRPr="003560BD" w:rsidRDefault="00974D97"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D5F03D6" w14:textId="77777777" w:rsidR="00BF6B07" w:rsidRPr="003560BD" w:rsidRDefault="00BF6B07" w:rsidP="00BF6B07">
      <w:pPr>
        <w:ind w:left="720"/>
        <w:jc w:val="both"/>
        <w:rPr>
          <w:rFonts w:ascii="Arial" w:hAnsi="Arial" w:cs="Arial"/>
          <w:color w:val="000000"/>
          <w:sz w:val="22"/>
          <w:szCs w:val="22"/>
        </w:rPr>
      </w:pPr>
    </w:p>
    <w:p w14:paraId="712314B6"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69DE8094"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17F78E5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0F1CCB58"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5EB1AEB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w:t>
      </w:r>
      <w:r w:rsidR="00C64F08">
        <w:rPr>
          <w:rFonts w:ascii="Arial" w:hAnsi="Arial" w:cs="Arial"/>
          <w:sz w:val="22"/>
          <w:szCs w:val="22"/>
        </w:rPr>
        <w:t>M</w:t>
      </w:r>
      <w:r w:rsidRPr="003560BD">
        <w:rPr>
          <w:rFonts w:ascii="Arial" w:hAnsi="Arial" w:cs="Arial"/>
          <w:sz w:val="22"/>
          <w:szCs w:val="22"/>
        </w:rPr>
        <w:t>ail, Internet Service Providers, facsimile, or e-mail.</w:t>
      </w:r>
    </w:p>
    <w:p w14:paraId="61892BE0"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6665187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F67D914"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5DFFC44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3819ED33"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55AD9EB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00AE7627"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3FF754F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w:t>
      </w:r>
      <w:r w:rsidR="00E25C3B">
        <w:rPr>
          <w:rFonts w:ascii="Arial" w:hAnsi="Arial" w:cs="Arial"/>
          <w:sz w:val="22"/>
          <w:szCs w:val="22"/>
        </w:rPr>
        <w:t xml:space="preserve"> </w:t>
      </w:r>
      <w:r w:rsidRPr="003560BD">
        <w:rPr>
          <w:rFonts w:ascii="Arial" w:hAnsi="Arial" w:cs="Arial"/>
          <w:sz w:val="22"/>
          <w:szCs w:val="22"/>
        </w:rPr>
        <w:t xml:space="preserve"> (1) the customer’s business requirements; (2) elapsed time since the award of the original project; and/or (3) research on changes in the Vendor, market, and technical environments since the initial award.</w:t>
      </w:r>
    </w:p>
    <w:p w14:paraId="0E835450" w14:textId="77777777" w:rsidR="00BF6B07" w:rsidRPr="003560BD" w:rsidRDefault="00BF6B07" w:rsidP="00BF6B07">
      <w:pPr>
        <w:pStyle w:val="Level1"/>
        <w:jc w:val="both"/>
        <w:rPr>
          <w:rFonts w:ascii="Arial" w:hAnsi="Arial" w:cs="Arial"/>
          <w:sz w:val="22"/>
          <w:szCs w:val="22"/>
        </w:rPr>
      </w:pPr>
      <w:bookmarkStart w:id="51" w:name="_Toc49239665"/>
      <w:r w:rsidRPr="003560BD">
        <w:rPr>
          <w:rFonts w:ascii="Arial" w:hAnsi="Arial" w:cs="Arial"/>
          <w:b/>
          <w:bCs/>
          <w:sz w:val="22"/>
          <w:szCs w:val="22"/>
        </w:rPr>
        <w:t>Price Changes During Award or Renewal Period</w:t>
      </w:r>
      <w:bookmarkEnd w:id="51"/>
    </w:p>
    <w:p w14:paraId="5F46321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22FB8813"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26A008D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647FBB9A"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134CF63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0A8D50DA" w14:textId="77777777" w:rsidR="00BF6B07" w:rsidRPr="003560BD" w:rsidRDefault="00BF6B07" w:rsidP="00635AD0">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6A63849F" w14:textId="77777777" w:rsidR="00BF6B07" w:rsidRPr="003560BD" w:rsidRDefault="00BF6B07" w:rsidP="00635AD0">
      <w:pPr>
        <w:pStyle w:val="Level2"/>
      </w:pPr>
      <w:r w:rsidRPr="003560BD">
        <w:lastRenderedPageBreak/>
        <w:t>That, if onsite interviews are required, the individual can be at the specified location in Mississippi within the timeframe specified. All costs associated with onsite interviews will be the responsibility of the Vendor.</w:t>
      </w:r>
    </w:p>
    <w:p w14:paraId="06E3C844" w14:textId="77777777" w:rsidR="00BF6B07" w:rsidRPr="003560BD" w:rsidRDefault="00BF6B07" w:rsidP="00635AD0">
      <w:pPr>
        <w:pStyle w:val="Level2"/>
      </w:pPr>
      <w:r w:rsidRPr="003560BD">
        <w:t>That the individual is proficient in spoken and written English;</w:t>
      </w:r>
    </w:p>
    <w:p w14:paraId="6B869FE2" w14:textId="77777777" w:rsidR="00BF6B07" w:rsidRPr="003560BD" w:rsidRDefault="00BF6B07" w:rsidP="00635AD0">
      <w:pPr>
        <w:pStyle w:val="Level2"/>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14:paraId="26B0905F" w14:textId="77777777" w:rsidR="00BF6B07" w:rsidRPr="003560BD" w:rsidRDefault="00BF6B07" w:rsidP="00635AD0">
      <w:pPr>
        <w:pStyle w:val="Level2"/>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14:paraId="5E9F5C4F" w14:textId="77777777"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22A52DB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35D6EE31" w14:textId="77777777"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14:paraId="117C903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w:t>
      </w:r>
      <w:r w:rsidR="00E25C3B">
        <w:rPr>
          <w:rFonts w:ascii="Arial" w:hAnsi="Arial" w:cs="Arial"/>
          <w:sz w:val="22"/>
          <w:szCs w:val="22"/>
        </w:rPr>
        <w:t>.</w:t>
      </w:r>
      <w:r w:rsidRPr="003560BD">
        <w:rPr>
          <w:rFonts w:ascii="Arial" w:hAnsi="Arial" w:cs="Arial"/>
          <w:sz w:val="22"/>
          <w:szCs w:val="22"/>
        </w:rPr>
        <w:t xml:space="preserve">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w:t>
      </w:r>
      <w:r w:rsidRPr="003560BD">
        <w:rPr>
          <w:rFonts w:ascii="Arial" w:hAnsi="Arial" w:cs="Arial"/>
          <w:sz w:val="22"/>
          <w:szCs w:val="22"/>
        </w:rPr>
        <w:lastRenderedPageBreak/>
        <w:t>conducted, in writing and subject to solicitation by the State and receipt from the Vendors under a precise schedule.</w:t>
      </w:r>
    </w:p>
    <w:p w14:paraId="72B458BA"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0BBCC8D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64729256"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1A64D51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294FCA1E"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7509B6E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10BB1CEE"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75519BE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56D76ED2" w14:textId="77777777" w:rsidR="00BF6B07" w:rsidRPr="003560BD" w:rsidRDefault="00BF6B07">
      <w:pPr>
        <w:pStyle w:val="Body"/>
        <w:rPr>
          <w:rFonts w:ascii="Arial" w:hAnsi="Arial" w:cs="Arial"/>
          <w:szCs w:val="22"/>
        </w:rPr>
      </w:pPr>
    </w:p>
    <w:p w14:paraId="21C35039"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5CE95DB1" w14:textId="77777777" w:rsidR="00BF6B07" w:rsidRPr="003560BD" w:rsidRDefault="00BF6B07">
      <w:pPr>
        <w:pStyle w:val="Heading1"/>
        <w:rPr>
          <w:rFonts w:ascii="Arial" w:hAnsi="Arial" w:cs="Arial"/>
          <w:sz w:val="22"/>
          <w:szCs w:val="22"/>
        </w:rPr>
      </w:pPr>
      <w:bookmarkStart w:id="60" w:name="_Toc49239676"/>
      <w:bookmarkStart w:id="61" w:name="_Toc483995365"/>
      <w:r w:rsidRPr="003560BD">
        <w:rPr>
          <w:rFonts w:ascii="Arial" w:hAnsi="Arial" w:cs="Arial"/>
          <w:sz w:val="22"/>
          <w:szCs w:val="22"/>
        </w:rPr>
        <w:lastRenderedPageBreak/>
        <w:t>SECTION IV</w:t>
      </w:r>
      <w:bookmarkEnd w:id="60"/>
      <w:bookmarkEnd w:id="61"/>
    </w:p>
    <w:p w14:paraId="7FBC37F9" w14:textId="77777777" w:rsidR="00BF6B07" w:rsidRPr="003560BD" w:rsidRDefault="00BF6B07">
      <w:pPr>
        <w:pStyle w:val="Heading2"/>
        <w:rPr>
          <w:rFonts w:ascii="Arial" w:hAnsi="Arial" w:cs="Arial"/>
          <w:sz w:val="22"/>
          <w:szCs w:val="22"/>
        </w:rPr>
      </w:pPr>
      <w:bookmarkStart w:id="62" w:name="_Toc483995366"/>
      <w:r w:rsidRPr="003560BD">
        <w:rPr>
          <w:rFonts w:ascii="Arial" w:hAnsi="Arial" w:cs="Arial"/>
          <w:sz w:val="22"/>
          <w:szCs w:val="22"/>
        </w:rPr>
        <w:t>LEGAL AND CONTRACTUAL INFORMATION</w:t>
      </w:r>
      <w:bookmarkEnd w:id="62"/>
    </w:p>
    <w:p w14:paraId="72BC4224" w14:textId="77777777" w:rsidR="00BF6B07" w:rsidRPr="003560BD" w:rsidRDefault="00BF6B07">
      <w:pPr>
        <w:rPr>
          <w:rFonts w:ascii="Arial" w:hAnsi="Arial" w:cs="Arial"/>
          <w:sz w:val="22"/>
          <w:szCs w:val="22"/>
        </w:rPr>
      </w:pPr>
    </w:p>
    <w:p w14:paraId="3B42547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7AB03186"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5468D40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549AA4D9"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4BB2FB4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2C5F1349"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5673A35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2D4E6047" w14:textId="77777777" w:rsidR="00BF6B07" w:rsidRPr="003560BD" w:rsidRDefault="00BF6B07" w:rsidP="00635AD0">
      <w:pPr>
        <w:pStyle w:val="Level2"/>
      </w:pPr>
      <w:r w:rsidRPr="003560BD">
        <w:t xml:space="preserve">The Proposal Exception Summary Form as accepted by </w:t>
      </w:r>
      <w:r w:rsidRPr="003560BD">
        <w:rPr>
          <w:b/>
          <w:bCs/>
        </w:rPr>
        <w:t>ITS</w:t>
      </w:r>
      <w:r w:rsidRPr="003560BD">
        <w:t>;</w:t>
      </w:r>
    </w:p>
    <w:p w14:paraId="32D0608E" w14:textId="77777777" w:rsidR="00BF6B07" w:rsidRPr="003560BD" w:rsidRDefault="00BF6B07" w:rsidP="00635AD0">
      <w:pPr>
        <w:pStyle w:val="Level2"/>
      </w:pPr>
      <w:r w:rsidRPr="003560BD">
        <w:t xml:space="preserve">Contracts which have been signed by the Vendor and </w:t>
      </w:r>
      <w:r w:rsidRPr="003560BD">
        <w:rPr>
          <w:b/>
          <w:bCs/>
        </w:rPr>
        <w:t>ITS</w:t>
      </w:r>
      <w:r w:rsidRPr="003560BD">
        <w:t>;</w:t>
      </w:r>
    </w:p>
    <w:p w14:paraId="7F14FC7A" w14:textId="77777777" w:rsidR="00BF6B07" w:rsidRPr="003560BD" w:rsidRDefault="00BF6B07" w:rsidP="00635AD0">
      <w:pPr>
        <w:pStyle w:val="Level2"/>
      </w:pPr>
      <w:r w:rsidRPr="003560BD">
        <w:rPr>
          <w:b/>
          <w:bCs/>
        </w:rPr>
        <w:t>ITS’</w:t>
      </w:r>
      <w:r w:rsidRPr="003560BD">
        <w:t xml:space="preserve"> Request for Proposal, including all addenda;</w:t>
      </w:r>
    </w:p>
    <w:p w14:paraId="6326CCCE" w14:textId="77777777" w:rsidR="00BF6B07" w:rsidRPr="003560BD" w:rsidRDefault="00BF6B07" w:rsidP="00635AD0">
      <w:pPr>
        <w:pStyle w:val="Level2"/>
      </w:pPr>
      <w:r w:rsidRPr="003560BD">
        <w:t xml:space="preserve">Official written correspondence from </w:t>
      </w:r>
      <w:r w:rsidRPr="003560BD">
        <w:rPr>
          <w:b/>
          <w:bCs/>
        </w:rPr>
        <w:t>ITS</w:t>
      </w:r>
      <w:r w:rsidRPr="003560BD">
        <w:t xml:space="preserve"> to the Vendor;</w:t>
      </w:r>
    </w:p>
    <w:p w14:paraId="628BD7AC" w14:textId="77777777" w:rsidR="00BF6B07" w:rsidRPr="003560BD" w:rsidRDefault="00BF6B07" w:rsidP="00635AD0">
      <w:pPr>
        <w:pStyle w:val="Level2"/>
      </w:pPr>
      <w:r w:rsidRPr="003560BD">
        <w:t xml:space="preserve">Official written correspondence from the Vendor to </w:t>
      </w:r>
      <w:r w:rsidRPr="003560BD">
        <w:rPr>
          <w:b/>
          <w:bCs/>
        </w:rPr>
        <w:t>ITS</w:t>
      </w:r>
      <w:r w:rsidRPr="003560BD">
        <w:t xml:space="preserve"> when clarifying the Vendor’s proposal; and</w:t>
      </w:r>
    </w:p>
    <w:p w14:paraId="29DDBD59" w14:textId="77777777" w:rsidR="00BF6B07" w:rsidRPr="003560BD" w:rsidRDefault="00BF6B07" w:rsidP="00635AD0">
      <w:pPr>
        <w:pStyle w:val="Level2"/>
      </w:pPr>
      <w:r w:rsidRPr="003560BD">
        <w:t xml:space="preserve">The Vendor’s proposal response to the </w:t>
      </w:r>
      <w:r w:rsidRPr="003560BD">
        <w:rPr>
          <w:b/>
          <w:bCs/>
        </w:rPr>
        <w:t xml:space="preserve">ITS </w:t>
      </w:r>
      <w:r w:rsidRPr="003560BD">
        <w:t>RFP.</w:t>
      </w:r>
    </w:p>
    <w:p w14:paraId="3AB5CD55" w14:textId="77777777"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6B93131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045031B3"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138F598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7D694330"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4A43716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14:paraId="1862B56B"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14:paraId="1DD68F68" w14:textId="77777777" w:rsidR="00BF6B07" w:rsidRPr="003560BD" w:rsidRDefault="00BF6B07" w:rsidP="00635AD0">
      <w:pPr>
        <w:pStyle w:val="Level2"/>
      </w:pPr>
      <w:r w:rsidRPr="003560BD">
        <w:t>The State of Mississippi is self-insured; all requirements for the purchase of casualty or liability insurance are deleted.</w:t>
      </w:r>
    </w:p>
    <w:p w14:paraId="4B4851D6" w14:textId="77777777" w:rsidR="00BF6B07" w:rsidRPr="003560BD" w:rsidRDefault="00BF6B07" w:rsidP="00635AD0">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30785C67" w14:textId="77777777" w:rsidR="00BF6B07" w:rsidRPr="003560BD" w:rsidRDefault="00BF6B07" w:rsidP="00635AD0">
      <w:pPr>
        <w:pStyle w:val="Level2"/>
      </w:pPr>
      <w:r w:rsidRPr="003560BD">
        <w:t>The Vendor shall have no limitation on liability for claims related to the following items:</w:t>
      </w:r>
    </w:p>
    <w:p w14:paraId="147DB735"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35EA3349"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74BE58D9"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45637B29"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1478B754"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761DC669" w14:textId="77777777" w:rsidR="00BF6B07" w:rsidRPr="003560BD" w:rsidRDefault="00BF6B07" w:rsidP="00635AD0">
      <w:pPr>
        <w:pStyle w:val="Level2"/>
      </w:pPr>
      <w:r w:rsidRPr="003560BD">
        <w:t>All requirements that the State pay interest (other than in connection with lease-purchase contracts not exceeding five years) are deleted.</w:t>
      </w:r>
    </w:p>
    <w:p w14:paraId="6F51B37C" w14:textId="77777777" w:rsidR="00BF6B07" w:rsidRPr="003560BD" w:rsidRDefault="00BF6B07" w:rsidP="00635AD0">
      <w:pPr>
        <w:pStyle w:val="Level2"/>
      </w:pPr>
      <w:r w:rsidRPr="003560BD">
        <w:t>Any contract negotiated under this RFP will be governed by and construed according to the laws of the State of Mississippi. Venue for the resolution of any dispute shall be Jackson, Hinds County, Mississippi.</w:t>
      </w:r>
    </w:p>
    <w:p w14:paraId="2C5F9A4D" w14:textId="77777777" w:rsidR="00BF6B07" w:rsidRPr="003560BD" w:rsidRDefault="00BF6B07" w:rsidP="00635AD0">
      <w:pPr>
        <w:pStyle w:val="Level2"/>
      </w:pPr>
      <w:r w:rsidRPr="003560BD">
        <w:t>Any contract negotiated under this RFP is cancelable in the event the funding authority does not appropriate funds. Notice requirements to Vendor cannot exceed sixty (60) days.</w:t>
      </w:r>
    </w:p>
    <w:p w14:paraId="6AAF585B" w14:textId="77777777" w:rsidR="00BF6B07" w:rsidRPr="003560BD" w:rsidRDefault="00BF6B07" w:rsidP="00635AD0">
      <w:pPr>
        <w:pStyle w:val="Level2"/>
      </w:pPr>
      <w:r w:rsidRPr="003560BD">
        <w:t>The State of Mississippi does not waive its sovereign immunities or defenses as provided by law by entering into this contract with the Vendor, Vendor agents, subcontractors, or assignees.</w:t>
      </w:r>
    </w:p>
    <w:p w14:paraId="63DD99D6" w14:textId="77777777" w:rsidR="00BF6B07" w:rsidRPr="003560BD" w:rsidRDefault="00BF6B07" w:rsidP="00635AD0">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47638D78" w14:textId="77777777" w:rsidR="00BF6B07" w:rsidRPr="003560BD" w:rsidRDefault="00BF6B07" w:rsidP="00635AD0">
      <w:pPr>
        <w:pStyle w:val="Level2"/>
      </w:pPr>
      <w:r w:rsidRPr="003560BD">
        <w:t>The State shall not pay any attorney's fees, prejudgment interest or the cost of legal action to or for the Vendor.</w:t>
      </w:r>
    </w:p>
    <w:p w14:paraId="51370F8E" w14:textId="77777777"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485CA80E" w14:textId="77777777" w:rsidR="00BF6B07" w:rsidRPr="003560BD" w:rsidRDefault="00BF6B07" w:rsidP="00635AD0">
      <w:pPr>
        <w:pStyle w:val="Level2"/>
      </w:pPr>
      <w:r w:rsidRPr="003560BD">
        <w:t>Award of Contract - A contract is considered to be awarded to a proposer once the proposer’s offering has been approved as lowest and best proposal through:</w:t>
      </w:r>
    </w:p>
    <w:p w14:paraId="25A80963"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3A7CEECF"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65E25EDA"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385DC15D"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7FCFE366" w14:textId="77777777" w:rsidR="00BF6B07" w:rsidRPr="003560BD" w:rsidRDefault="00BF6B07" w:rsidP="00635AD0">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6553BF5B" w14:textId="77777777" w:rsidR="00BF6B07" w:rsidRPr="003560BD" w:rsidRDefault="00BF6B07" w:rsidP="00635AD0">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58E0F746" w14:textId="77777777"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497B23E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141C345A"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19110A5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DC71E99"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1AEDAFBF"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2B7BF5E6"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4D95454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728FB4F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0E1F6C50" w14:textId="77777777" w:rsidR="00BF6B07" w:rsidRPr="006C1D89" w:rsidRDefault="00BF6B07" w:rsidP="00635AD0">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668AEC3D" w14:textId="77777777" w:rsidR="00E86F01" w:rsidRPr="00564B76" w:rsidRDefault="00BF6B07" w:rsidP="00635AD0">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7A95BC52" w14:textId="77777777" w:rsidR="00BF6B07" w:rsidRPr="00564B76" w:rsidRDefault="00BF6B07" w:rsidP="00635AD0">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5D667FA9" w14:textId="77777777"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403C698F" w14:textId="77777777" w:rsidR="00BF6B07" w:rsidRPr="003560BD" w:rsidRDefault="00BF6B07" w:rsidP="00635AD0">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68AA73C1" w14:textId="77777777" w:rsidR="00BF6B07" w:rsidRPr="003560BD" w:rsidRDefault="00BF6B07" w:rsidP="00635AD0">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6E27A706" w14:textId="77777777"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023F915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5BB64E8D"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7BF062A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50063D18" w14:textId="77777777" w:rsidR="00BF6B07" w:rsidRPr="003560BD" w:rsidRDefault="00BF6B07" w:rsidP="00635AD0">
      <w:pPr>
        <w:pStyle w:val="Level2"/>
      </w:pPr>
      <w:r w:rsidRPr="003560BD">
        <w:lastRenderedPageBreak/>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1A62AF0B" w14:textId="77777777" w:rsidR="00BF6B07" w:rsidRPr="003560BD" w:rsidRDefault="00BF6B07" w:rsidP="00635AD0">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6E1ECFF" w14:textId="77777777" w:rsidR="00BF6B07" w:rsidRDefault="00BF6B07" w:rsidP="00635AD0">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344DCEBA" w14:textId="77777777"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2800721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34269362"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46F0F01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2436915F"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5C73B124"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5D5FA4CB" w14:textId="77777777" w:rsidR="00460508" w:rsidRDefault="00460508" w:rsidP="00DD0731">
      <w:pPr>
        <w:pStyle w:val="Level1"/>
        <w:numPr>
          <w:ilvl w:val="0"/>
          <w:numId w:val="0"/>
        </w:numPr>
        <w:spacing w:before="0"/>
        <w:ind w:left="749"/>
        <w:jc w:val="both"/>
        <w:rPr>
          <w:rFonts w:ascii="Arial" w:hAnsi="Arial" w:cs="Arial"/>
          <w:sz w:val="22"/>
          <w:szCs w:val="22"/>
        </w:rPr>
      </w:pPr>
    </w:p>
    <w:p w14:paraId="3941DD1C" w14:textId="77777777" w:rsidR="00460508" w:rsidRPr="003560BD" w:rsidRDefault="00460508" w:rsidP="00DD0731">
      <w:pPr>
        <w:pStyle w:val="Level1"/>
        <w:numPr>
          <w:ilvl w:val="0"/>
          <w:numId w:val="0"/>
        </w:numPr>
        <w:spacing w:before="0"/>
        <w:ind w:left="749"/>
        <w:jc w:val="both"/>
        <w:rPr>
          <w:rFonts w:ascii="Arial" w:hAnsi="Arial" w:cs="Arial"/>
          <w:sz w:val="22"/>
          <w:szCs w:val="22"/>
        </w:rPr>
      </w:pPr>
    </w:p>
    <w:p w14:paraId="2ECC3B16" w14:textId="77777777"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lastRenderedPageBreak/>
        <w:t>References to Vendor to Include Subcontractor</w:t>
      </w:r>
      <w:bookmarkEnd w:id="81"/>
    </w:p>
    <w:p w14:paraId="6C03928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6018650F"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22E9D694" w14:textId="77777777" w:rsidR="00BF6B07" w:rsidRPr="003560BD" w:rsidRDefault="00BF6B07" w:rsidP="00635AD0">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FD9B557" w14:textId="77777777" w:rsidR="00BF6B07" w:rsidRPr="003560BD" w:rsidRDefault="00BF6B07" w:rsidP="00635AD0">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5E0ED90B" w14:textId="77777777" w:rsidR="00BF6B07" w:rsidRDefault="00BF6B07" w:rsidP="00635AD0">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7AA9605F" w14:textId="77777777"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4EE3137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786FDA0E"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760D5301" w14:textId="77777777" w:rsidR="00A21646" w:rsidRPr="003560BD" w:rsidRDefault="00BF6B07" w:rsidP="00460508">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78363A61"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536AA68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3D837CA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78521D48"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013A54B6"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lastRenderedPageBreak/>
        <w:t xml:space="preserve">Amortization Schedule </w:t>
      </w:r>
    </w:p>
    <w:p w14:paraId="35D07FD7"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1AC53E04"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1BE8D56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4E4FA1DD"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60018622" w14:textId="77777777" w:rsidR="00BF6B07" w:rsidRPr="003560BD" w:rsidRDefault="00BF6B07" w:rsidP="00635AD0">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583A0F1" w14:textId="77777777" w:rsidR="00BF6B07" w:rsidRPr="003560BD" w:rsidRDefault="00BF6B07" w:rsidP="00635AD0">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15C2082F" w14:textId="77777777"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4FC0A34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2C43C696"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3F26376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3827DB6F"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6C19FE9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3C4831A8"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38A5D55F" w14:textId="77777777"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 xml:space="preserve">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w:t>
      </w:r>
      <w:r w:rsidRPr="003560BD">
        <w:rPr>
          <w:rFonts w:ascii="Arial" w:eastAsia="Calibri" w:hAnsi="Arial" w:cs="Arial"/>
          <w:sz w:val="22"/>
          <w:szCs w:val="22"/>
        </w:rPr>
        <w:lastRenderedPageBreak/>
        <w:t>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14:paraId="4CF76119" w14:textId="77777777" w:rsidR="00BF6B07" w:rsidRPr="0016617A" w:rsidRDefault="00F92D52" w:rsidP="0061377C">
      <w:pPr>
        <w:pStyle w:val="Level1"/>
        <w:numPr>
          <w:ilvl w:val="0"/>
          <w:numId w:val="10"/>
        </w:numPr>
        <w:jc w:val="both"/>
        <w:rPr>
          <w:rFonts w:ascii="Arial" w:hAnsi="Arial" w:cs="Arial"/>
          <w:b/>
          <w:sz w:val="22"/>
          <w:szCs w:val="22"/>
        </w:rPr>
      </w:pPr>
      <w:bookmarkStart w:id="92"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2"/>
    </w:p>
    <w:p w14:paraId="4954CFC7"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55B3DB03" w14:textId="77777777"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14:paraId="6FE5D422"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5F081895"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54A3EC43" w14:textId="77777777" w:rsidR="00BF6B07" w:rsidRPr="003560BD" w:rsidRDefault="00974D97"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2FABA1E7" w14:textId="77777777" w:rsidR="00BF6B07" w:rsidRPr="003560BD" w:rsidRDefault="00BF6B07" w:rsidP="00BF6B07">
      <w:pPr>
        <w:pStyle w:val="Body"/>
        <w:jc w:val="both"/>
        <w:rPr>
          <w:rFonts w:ascii="Arial" w:hAnsi="Arial" w:cs="Arial"/>
          <w:b/>
          <w:bCs/>
          <w:szCs w:val="22"/>
        </w:rPr>
      </w:pPr>
    </w:p>
    <w:p w14:paraId="666EF368"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497CCA7A" w14:textId="77777777" w:rsidR="00BF6B07" w:rsidRPr="003560BD" w:rsidRDefault="00BF6B07" w:rsidP="00BF6B07">
      <w:pPr>
        <w:pStyle w:val="Body"/>
        <w:jc w:val="both"/>
        <w:rPr>
          <w:rFonts w:ascii="Arial" w:hAnsi="Arial" w:cs="Arial"/>
          <w:szCs w:val="22"/>
        </w:rPr>
      </w:pPr>
    </w:p>
    <w:p w14:paraId="5370812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1E17EFBE" w14:textId="77777777" w:rsidR="00BF6B07" w:rsidRPr="00B85ED1" w:rsidRDefault="00BF6B07" w:rsidP="00BF6B07">
      <w:pPr>
        <w:pStyle w:val="Body"/>
        <w:jc w:val="both"/>
        <w:rPr>
          <w:rFonts w:ascii="Arial" w:hAnsi="Arial" w:cs="Arial"/>
          <w:szCs w:val="22"/>
        </w:rPr>
      </w:pPr>
    </w:p>
    <w:p w14:paraId="17550A71"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347E504B" w14:textId="77777777"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14:paraId="6CDB0C69"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w:t>
      </w:r>
      <w:r w:rsidRPr="003560BD">
        <w:rPr>
          <w:rFonts w:ascii="Arial" w:hAnsi="Arial" w:cs="Arial"/>
          <w:sz w:val="22"/>
          <w:szCs w:val="22"/>
        </w:rPr>
        <w:lastRenderedPageBreak/>
        <w:t>products/services acquired until final acceptance. The Vendor must agree to incorporate any or all of the above terms and conditions into the customer agreement.</w:t>
      </w:r>
    </w:p>
    <w:p w14:paraId="2A77F6B5" w14:textId="77777777" w:rsidR="00BF6B07" w:rsidRPr="00F91FD7" w:rsidRDefault="00BF6B07" w:rsidP="00BF6B07">
      <w:pPr>
        <w:pStyle w:val="Level1"/>
        <w:jc w:val="both"/>
        <w:rPr>
          <w:rFonts w:ascii="Arial" w:hAnsi="Arial" w:cs="Arial"/>
          <w:sz w:val="22"/>
          <w:szCs w:val="22"/>
        </w:rPr>
      </w:pPr>
      <w:r w:rsidRPr="00F91FD7">
        <w:rPr>
          <w:rFonts w:ascii="Arial" w:hAnsi="Arial" w:cs="Arial"/>
          <w:b/>
          <w:bCs/>
          <w:sz w:val="22"/>
          <w:szCs w:val="22"/>
        </w:rPr>
        <w:t>Proposal Bond</w:t>
      </w:r>
      <w:bookmarkEnd w:id="95"/>
    </w:p>
    <w:p w14:paraId="57403A38" w14:textId="77777777" w:rsidR="00BF6B07" w:rsidRPr="003560BD" w:rsidRDefault="00972832" w:rsidP="005A7A5C">
      <w:pPr>
        <w:pStyle w:val="Level1"/>
        <w:numPr>
          <w:ilvl w:val="0"/>
          <w:numId w:val="0"/>
        </w:numPr>
        <w:spacing w:before="0"/>
        <w:ind w:left="749"/>
        <w:jc w:val="both"/>
        <w:rPr>
          <w:rFonts w:ascii="Arial" w:hAnsi="Arial" w:cs="Arial"/>
          <w:sz w:val="22"/>
          <w:szCs w:val="22"/>
          <w:highlight w:val="yellow"/>
        </w:rPr>
      </w:pPr>
      <w:r w:rsidRPr="00F91FD7">
        <w:rPr>
          <w:rFonts w:ascii="Arial" w:hAnsi="Arial" w:cs="Arial"/>
          <w:sz w:val="22"/>
          <w:szCs w:val="22"/>
        </w:rPr>
        <w:t>The Vendor is not required to</w:t>
      </w:r>
      <w:r w:rsidR="00F91FD7" w:rsidRPr="00F91FD7">
        <w:rPr>
          <w:rFonts w:ascii="Arial" w:hAnsi="Arial" w:cs="Arial"/>
          <w:sz w:val="22"/>
          <w:szCs w:val="22"/>
        </w:rPr>
        <w:t xml:space="preserve"> </w:t>
      </w:r>
      <w:r w:rsidR="00BF6B07" w:rsidRPr="00F91FD7">
        <w:rPr>
          <w:rFonts w:ascii="Arial" w:hAnsi="Arial" w:cs="Arial"/>
          <w:sz w:val="22"/>
          <w:szCs w:val="22"/>
        </w:rPr>
        <w:t xml:space="preserve">include a proposal bond with its RFP proposal. </w:t>
      </w:r>
      <w:r w:rsidR="00BF6B07" w:rsidRPr="003560BD">
        <w:rPr>
          <w:rFonts w:ascii="Arial" w:hAnsi="Arial" w:cs="Arial"/>
          <w:sz w:val="22"/>
          <w:szCs w:val="22"/>
          <w:highlight w:val="yellow"/>
        </w:rPr>
        <w:t xml:space="preserve"> </w:t>
      </w:r>
    </w:p>
    <w:p w14:paraId="56066696" w14:textId="77777777" w:rsidR="00BF6B07" w:rsidRPr="003560BD" w:rsidRDefault="00BF6B07" w:rsidP="00BF6B07">
      <w:pPr>
        <w:pStyle w:val="Level1"/>
        <w:jc w:val="both"/>
        <w:rPr>
          <w:rFonts w:ascii="Arial" w:hAnsi="Arial" w:cs="Arial"/>
          <w:b/>
          <w:sz w:val="22"/>
          <w:szCs w:val="22"/>
        </w:rPr>
      </w:pPr>
      <w:bookmarkStart w:id="96" w:name="_Toc49239736"/>
      <w:r w:rsidRPr="003560BD">
        <w:rPr>
          <w:rFonts w:ascii="Arial" w:hAnsi="Arial" w:cs="Arial"/>
          <w:b/>
          <w:bCs/>
          <w:sz w:val="22"/>
          <w:szCs w:val="22"/>
        </w:rPr>
        <w:t>Performance Bond/Irrevocable Bank Letter of Credit</w:t>
      </w:r>
      <w:bookmarkEnd w:id="96"/>
      <w:r w:rsidRPr="003560BD">
        <w:rPr>
          <w:rFonts w:ascii="Arial" w:hAnsi="Arial" w:cs="Arial"/>
          <w:b/>
          <w:bCs/>
          <w:sz w:val="22"/>
          <w:szCs w:val="22"/>
        </w:rPr>
        <w:t xml:space="preserve"> </w:t>
      </w:r>
    </w:p>
    <w:p w14:paraId="4E9A6614" w14:textId="77777777" w:rsidR="007B2896" w:rsidRDefault="00BF6B07" w:rsidP="007B2896">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Vendor </w:t>
      </w:r>
      <w:r w:rsidR="007B2896">
        <w:rPr>
          <w:rFonts w:ascii="Arial" w:hAnsi="Arial" w:cs="Arial"/>
          <w:sz w:val="22"/>
          <w:szCs w:val="22"/>
        </w:rPr>
        <w:t>must include the price of a performance bond or irrevocable bank letter of credit with its RFP proposal</w:t>
      </w:r>
      <w:r w:rsidRPr="003560BD">
        <w:rPr>
          <w:rFonts w:ascii="Arial" w:hAnsi="Arial" w:cs="Arial"/>
          <w:sz w:val="22"/>
          <w:szCs w:val="22"/>
        </w:rPr>
        <w:t>.</w:t>
      </w:r>
      <w:r w:rsidR="007B2896">
        <w:rPr>
          <w:rFonts w:ascii="Arial" w:hAnsi="Arial" w:cs="Arial"/>
          <w:sz w:val="22"/>
          <w:szCs w:val="22"/>
        </w:rPr>
        <w:t xml:space="preserve"> </w:t>
      </w:r>
      <w:r w:rsidR="007B2896" w:rsidRPr="003560BD">
        <w:rPr>
          <w:rFonts w:ascii="Arial" w:hAnsi="Arial" w:cs="Arial"/>
          <w:sz w:val="22"/>
          <w:szCs w:val="22"/>
        </w:rPr>
        <w:t xml:space="preserve">The cost of the bond or letter of credit must be shown as a separate line item in the </w:t>
      </w:r>
      <w:r w:rsidR="007B2896" w:rsidRPr="003560BD">
        <w:rPr>
          <w:rFonts w:ascii="Arial" w:hAnsi="Arial" w:cs="Arial"/>
          <w:i/>
          <w:sz w:val="22"/>
          <w:szCs w:val="22"/>
        </w:rPr>
        <w:t>Cost Information Submission</w:t>
      </w:r>
      <w:r w:rsidR="007B2896" w:rsidRPr="003560BD">
        <w:rPr>
          <w:rFonts w:ascii="Arial" w:hAnsi="Arial" w:cs="Arial"/>
          <w:sz w:val="22"/>
          <w:szCs w:val="22"/>
        </w:rPr>
        <w:t>.  The performance bond or letter of credit must be procured at the Vendor’s expense prior to the execution of the contract and may be invoiced t</w:t>
      </w:r>
      <w:r w:rsidR="007B2896">
        <w:rPr>
          <w:rFonts w:ascii="Arial" w:hAnsi="Arial" w:cs="Arial"/>
          <w:sz w:val="22"/>
          <w:szCs w:val="22"/>
        </w:rPr>
        <w:t>o Mississippi Department of Wildlife, Fisheries, and Parks</w:t>
      </w:r>
      <w:r w:rsidR="007B2896" w:rsidRPr="003560BD">
        <w:rPr>
          <w:rFonts w:ascii="Arial" w:hAnsi="Arial" w:cs="Arial"/>
          <w:sz w:val="22"/>
          <w:szCs w:val="22"/>
        </w:rPr>
        <w:t xml:space="preserve"> after contract initiation only if itemized in the </w:t>
      </w:r>
      <w:r w:rsidR="007B2896" w:rsidRPr="003560BD">
        <w:rPr>
          <w:rFonts w:ascii="Arial" w:hAnsi="Arial" w:cs="Arial"/>
          <w:i/>
          <w:sz w:val="22"/>
          <w:szCs w:val="22"/>
        </w:rPr>
        <w:t>Cost Information Submission</w:t>
      </w:r>
      <w:r w:rsidR="007B2896" w:rsidRPr="003560BD">
        <w:rPr>
          <w:rFonts w:ascii="Arial" w:hAnsi="Arial" w:cs="Arial"/>
          <w:sz w:val="22"/>
          <w:szCs w:val="22"/>
        </w:rPr>
        <w:t xml:space="preserve"> and in the executed contract.  </w:t>
      </w:r>
      <w:r w:rsidR="007B2896" w:rsidRPr="003560BD">
        <w:rPr>
          <w:rFonts w:ascii="Arial" w:hAnsi="Arial" w:cs="Arial"/>
          <w:b/>
          <w:sz w:val="22"/>
          <w:szCs w:val="22"/>
        </w:rPr>
        <w:t>The final decision as to the requirement for a Performance Bond or Irrevocable Bank Letter of Credit will be made upon contract award and is at the State’s sole discretion.</w:t>
      </w:r>
    </w:p>
    <w:p w14:paraId="144AE216" w14:textId="77777777" w:rsidR="007B2896" w:rsidRPr="003560BD" w:rsidRDefault="007B2896" w:rsidP="007B2896">
      <w:pPr>
        <w:pStyle w:val="Level1"/>
        <w:numPr>
          <w:ilvl w:val="0"/>
          <w:numId w:val="0"/>
        </w:numPr>
        <w:ind w:left="748"/>
        <w:jc w:val="both"/>
        <w:rPr>
          <w:rFonts w:ascii="Arial" w:hAnsi="Arial" w:cs="Arial"/>
          <w:sz w:val="22"/>
          <w:szCs w:val="22"/>
        </w:rPr>
      </w:pPr>
      <w:r w:rsidRPr="007B2896">
        <w:rPr>
          <w:rFonts w:ascii="Arial" w:hAnsi="Arial" w:cs="Arial"/>
          <w:sz w:val="22"/>
          <w:szCs w:val="22"/>
        </w:rPr>
        <w:t xml:space="preserve">If a Performance Bond /Irrevocable Bank Letter of Credit is required, the Vendor must procure and submit to </w:t>
      </w:r>
      <w:r w:rsidRPr="007B2896">
        <w:rPr>
          <w:rFonts w:ascii="Arial" w:hAnsi="Arial" w:cs="Arial"/>
          <w:b/>
          <w:bCs/>
          <w:sz w:val="22"/>
          <w:szCs w:val="22"/>
        </w:rPr>
        <w:t>ITS</w:t>
      </w:r>
      <w:r w:rsidRPr="007B2896">
        <w:rPr>
          <w:rFonts w:ascii="Arial" w:hAnsi="Arial" w:cs="Arial"/>
          <w:sz w:val="22"/>
          <w:szCs w:val="22"/>
        </w:rPr>
        <w:t xml:space="preserve">, on behalf of </w:t>
      </w:r>
      <w:r>
        <w:rPr>
          <w:rFonts w:ascii="Arial" w:hAnsi="Arial" w:cs="Arial"/>
          <w:sz w:val="22"/>
          <w:szCs w:val="22"/>
        </w:rPr>
        <w:t>Mississippi Department of Wildlife, Fisheries, and Parks</w:t>
      </w:r>
      <w:r w:rsidRPr="007B2896">
        <w:rPr>
          <w:rFonts w:ascii="Arial" w:hAnsi="Arial" w:cs="Arial"/>
          <w:sz w:val="22"/>
          <w:szCs w:val="22"/>
        </w:rPr>
        <w:t xml:space="preserve">, with the executed contract, (a) a performance bond from a reliable surety company authorized to do business in the State of Mississippi or (b) an irrevocable bank letter of credit that is acceptable to the State.  The Performance Bond or the Irrevocable Letter of Credit shall be for </w:t>
      </w:r>
      <w:r w:rsidR="000825FA">
        <w:rPr>
          <w:rFonts w:ascii="Arial" w:hAnsi="Arial" w:cs="Arial"/>
          <w:sz w:val="22"/>
          <w:szCs w:val="22"/>
        </w:rPr>
        <w:t>$360,000.00</w:t>
      </w:r>
      <w:r w:rsidRPr="007B2896">
        <w:rPr>
          <w:rFonts w:ascii="Arial" w:hAnsi="Arial" w:cs="Arial"/>
          <w:sz w:val="22"/>
          <w:szCs w:val="22"/>
        </w:rPr>
        <w:t xml:space="preserve"> and shall be payable to </w:t>
      </w:r>
      <w:r>
        <w:rPr>
          <w:rFonts w:ascii="Arial" w:hAnsi="Arial" w:cs="Arial"/>
          <w:sz w:val="22"/>
          <w:szCs w:val="22"/>
        </w:rPr>
        <w:t>Mississippi Department of Wildlife, Fisheries, and Parks</w:t>
      </w:r>
      <w:r w:rsidRPr="007B2896">
        <w:rPr>
          <w:rFonts w:ascii="Arial" w:hAnsi="Arial" w:cs="Arial"/>
          <w:sz w:val="22"/>
          <w:szCs w:val="22"/>
        </w:rPr>
        <w:t>, to be held by their contracting agent, the Mississippi Department of Information Technology Services.  No contract resulting from this RFP will be valid until the required Performance Bond or Irrevocable Bank Letter of Credit has been received and found to</w:t>
      </w:r>
      <w:r>
        <w:rPr>
          <w:rFonts w:ascii="Arial" w:hAnsi="Arial" w:cs="Arial"/>
          <w:sz w:val="22"/>
          <w:szCs w:val="22"/>
        </w:rPr>
        <w:t xml:space="preserve"> be in proper form and amount. </w:t>
      </w:r>
      <w:r w:rsidRPr="007B2896">
        <w:rPr>
          <w:rFonts w:ascii="Arial" w:hAnsi="Arial" w:cs="Arial"/>
          <w:sz w:val="22"/>
          <w:szCs w:val="22"/>
        </w:rPr>
        <w:t>The Vendor agrees that the State has the right to request payment for a partial amount or the full amount of the Irrevocable Letter of Credit/Performance bond should the products/services being procured hereunder not be provided in a manner consistent with this RFP and the Vendor’s proposal by the delivery dat</w:t>
      </w:r>
      <w:r>
        <w:rPr>
          <w:rFonts w:ascii="Arial" w:hAnsi="Arial" w:cs="Arial"/>
          <w:sz w:val="22"/>
          <w:szCs w:val="22"/>
        </w:rPr>
        <w:t xml:space="preserve">es agreed upon by the parties. </w:t>
      </w:r>
      <w:r w:rsidRPr="007B2896">
        <w:rPr>
          <w:rFonts w:ascii="Arial" w:hAnsi="Arial" w:cs="Arial"/>
          <w:sz w:val="22"/>
          <w:szCs w:val="22"/>
        </w:rPr>
        <w:t>The State may demand payment by contacting the bank issuing the letter of credit or the bonding company issuing the performance bond and making a written reques</w:t>
      </w:r>
      <w:r>
        <w:rPr>
          <w:rFonts w:ascii="Arial" w:hAnsi="Arial" w:cs="Arial"/>
          <w:sz w:val="22"/>
          <w:szCs w:val="22"/>
        </w:rPr>
        <w:t xml:space="preserve">t for full or partial payment. </w:t>
      </w:r>
      <w:r w:rsidRPr="007B2896">
        <w:rPr>
          <w:rFonts w:ascii="Arial" w:hAnsi="Arial" w:cs="Arial"/>
          <w:sz w:val="22"/>
          <w:szCs w:val="22"/>
        </w:rPr>
        <w:t>The issuing bank/bonding company is required to honor any demand for payment from the State within fiftee</w:t>
      </w:r>
      <w:r>
        <w:rPr>
          <w:rFonts w:ascii="Arial" w:hAnsi="Arial" w:cs="Arial"/>
          <w:sz w:val="22"/>
          <w:szCs w:val="22"/>
        </w:rPr>
        <w:t xml:space="preserve">n (15) days of notification. </w:t>
      </w:r>
      <w:r w:rsidRPr="007B2896">
        <w:rPr>
          <w:rFonts w:ascii="Arial" w:hAnsi="Arial" w:cs="Arial"/>
          <w:sz w:val="22"/>
          <w:szCs w:val="22"/>
        </w:rPr>
        <w:t>The letter of credit/performance bond shall cover the entire contract period, with the exception of post-warranty maintenance and support, and shall not be released until final acceptance of all products and deliverables required herein or until the warranty period, if any, has e</w:t>
      </w:r>
      <w:r>
        <w:rPr>
          <w:rFonts w:ascii="Arial" w:hAnsi="Arial" w:cs="Arial"/>
          <w:sz w:val="22"/>
          <w:szCs w:val="22"/>
        </w:rPr>
        <w:t xml:space="preserve">xpired, whichever occurs last. </w:t>
      </w:r>
      <w:r w:rsidRPr="007B2896">
        <w:rPr>
          <w:rFonts w:ascii="Arial" w:hAnsi="Arial" w:cs="Arial"/>
          <w:sz w:val="22"/>
          <w:szCs w:val="22"/>
        </w:rPr>
        <w:t>If applicable, and at the State’s sole discretion, the State may, at any time during the warranty period, review Vendor’s performance and performance of the products/services delivered and determine that the letter of credit/performance bond may be reduced or released prior to expiration of the full warranty period.</w:t>
      </w:r>
      <w:r w:rsidRPr="003560BD">
        <w:rPr>
          <w:rFonts w:ascii="Arial" w:hAnsi="Arial" w:cs="Arial"/>
          <w:sz w:val="22"/>
          <w:szCs w:val="22"/>
        </w:rPr>
        <w:t xml:space="preserve">   </w:t>
      </w:r>
    </w:p>
    <w:p w14:paraId="17D03126"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8FA3966"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w:t>
      </w:r>
      <w:r w:rsidRPr="003560BD">
        <w:rPr>
          <w:rFonts w:ascii="Arial" w:hAnsi="Arial" w:cs="Arial"/>
          <w:sz w:val="22"/>
          <w:szCs w:val="22"/>
        </w:rPr>
        <w:lastRenderedPageBreak/>
        <w:t>any State agency or institution will be asked to leave the premises and can be suspended from further work on the premises.</w:t>
      </w:r>
    </w:p>
    <w:p w14:paraId="2278D98B" w14:textId="77777777"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14:paraId="113E7B05"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25023A45"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61823F88" w14:textId="77777777" w:rsidR="00BF6B07" w:rsidRPr="003560BD" w:rsidRDefault="00974D97"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5CCC35C5" w14:textId="77777777"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14:paraId="2137BFF4"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005F5009">
        <w:rPr>
          <w:rFonts w:ascii="Arial" w:hAnsi="Arial" w:cs="Arial"/>
          <w:sz w:val="22"/>
          <w:szCs w:val="22"/>
        </w:rPr>
        <w:t>3990.</w:t>
      </w:r>
    </w:p>
    <w:p w14:paraId="72CBB101" w14:textId="202D7DFD"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1" w:name="Lifecycle"/>
      <w:r w:rsidR="002B69E0">
        <w:rPr>
          <w:rFonts w:ascii="Arial" w:hAnsi="Arial" w:cs="Arial"/>
          <w:color w:val="000000"/>
          <w:sz w:val="22"/>
          <w:szCs w:val="22"/>
        </w:rPr>
        <w:t>$250,000.00</w:t>
      </w:r>
      <w:bookmarkEnd w:id="101"/>
      <w:r w:rsidRPr="003560BD">
        <w:rPr>
          <w:rFonts w:ascii="Arial" w:hAnsi="Arial" w:cs="Arial"/>
          <w:color w:val="000000"/>
          <w:sz w:val="22"/>
          <w:szCs w:val="22"/>
        </w:rPr>
        <w:fldChar w:fldCharType="end"/>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REF Lifecycle  \* </w:instrText>
      </w:r>
      <w:r w:rsidR="00030895" w:rsidRPr="003560BD">
        <w:rPr>
          <w:rFonts w:ascii="Arial" w:hAnsi="Arial" w:cs="Arial"/>
          <w:color w:val="000000"/>
          <w:sz w:val="22"/>
          <w:szCs w:val="22"/>
        </w:rPr>
        <w:instrText>CHAR</w:instrText>
      </w:r>
      <w:r w:rsidRPr="003560BD">
        <w:rPr>
          <w:rFonts w:ascii="Arial" w:hAnsi="Arial" w:cs="Arial"/>
          <w:color w:val="000000"/>
          <w:sz w:val="22"/>
          <w:szCs w:val="22"/>
        </w:rPr>
        <w:instrText xml:space="preserve">FORMAT </w:instrText>
      </w:r>
      <w:r w:rsidR="00774B6E" w:rsidRPr="003560BD">
        <w:rPr>
          <w:rFonts w:ascii="Arial" w:hAnsi="Arial" w:cs="Arial"/>
          <w:color w:val="000000"/>
          <w:sz w:val="22"/>
          <w:szCs w:val="22"/>
        </w:rPr>
        <w:instrText xml:space="preserve"> \* MERGEFORMAT </w:instrText>
      </w:r>
      <w:r w:rsidRPr="003560BD">
        <w:rPr>
          <w:rFonts w:ascii="Arial" w:hAnsi="Arial" w:cs="Arial"/>
          <w:color w:val="000000"/>
          <w:sz w:val="22"/>
          <w:szCs w:val="22"/>
        </w:rPr>
        <w:fldChar w:fldCharType="separate"/>
      </w:r>
      <w:r w:rsidR="00974D97" w:rsidRPr="00974D97">
        <w:rPr>
          <w:rFonts w:ascii="Arial" w:hAnsi="Arial" w:cs="Arial"/>
          <w:b/>
          <w:bCs/>
          <w:color w:val="000000"/>
          <w:sz w:val="22"/>
          <w:szCs w:val="22"/>
        </w:rPr>
        <w:t>$250,000.00</w:t>
      </w:r>
      <w:r w:rsidRPr="003560BD">
        <w:rPr>
          <w:rFonts w:ascii="Arial" w:hAnsi="Arial" w:cs="Arial"/>
          <w:color w:val="000000"/>
          <w:sz w:val="22"/>
          <w:szCs w:val="22"/>
        </w:rPr>
        <w:fldChar w:fldCharType="end"/>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0B526A81"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73CC832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07D009B2"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w:t>
      </w:r>
      <w:r w:rsidR="007629B4" w:rsidRPr="003560BD">
        <w:rPr>
          <w:rFonts w:ascii="Arial" w:hAnsi="Arial" w:cs="Arial"/>
          <w:sz w:val="22"/>
          <w:szCs w:val="22"/>
        </w:rPr>
        <w:lastRenderedPageBreak/>
        <w:t xml:space="preserve">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14:paraId="5310B0D4" w14:textId="77777777" w:rsidR="00BF6B07" w:rsidRPr="003560BD" w:rsidRDefault="00BF6B07" w:rsidP="00BF6B07">
      <w:pPr>
        <w:ind w:left="720" w:hanging="720"/>
        <w:jc w:val="both"/>
        <w:rPr>
          <w:rFonts w:ascii="Arial" w:hAnsi="Arial" w:cs="Arial"/>
          <w:sz w:val="22"/>
          <w:szCs w:val="22"/>
        </w:rPr>
      </w:pPr>
    </w:p>
    <w:p w14:paraId="425C9393"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4965114" w14:textId="77777777" w:rsidR="00BF6B07" w:rsidRPr="003560BD" w:rsidRDefault="00BF6B07" w:rsidP="00BF6B07">
      <w:pPr>
        <w:ind w:left="720"/>
        <w:jc w:val="both"/>
        <w:rPr>
          <w:rFonts w:ascii="Arial" w:hAnsi="Arial" w:cs="Arial"/>
          <w:sz w:val="22"/>
          <w:szCs w:val="22"/>
        </w:rPr>
      </w:pPr>
    </w:p>
    <w:p w14:paraId="45B174EF"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3DFDAA7" w14:textId="77777777" w:rsidR="00BF6B07" w:rsidRPr="003560BD" w:rsidRDefault="00BF6B07">
      <w:pPr>
        <w:pStyle w:val="Body"/>
        <w:rPr>
          <w:rFonts w:ascii="Arial" w:hAnsi="Arial" w:cs="Arial"/>
          <w:szCs w:val="22"/>
        </w:rPr>
      </w:pPr>
    </w:p>
    <w:p w14:paraId="7DD40CBC"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4AF980DB" w14:textId="77777777" w:rsidR="00BF6B07" w:rsidRPr="003560BD" w:rsidRDefault="00BF6B07">
      <w:pPr>
        <w:pStyle w:val="Heading1"/>
        <w:rPr>
          <w:rFonts w:ascii="Arial" w:hAnsi="Arial" w:cs="Arial"/>
          <w:sz w:val="22"/>
          <w:szCs w:val="22"/>
        </w:rPr>
      </w:pPr>
      <w:bookmarkStart w:id="102" w:name="_Toc483995367"/>
      <w:r w:rsidRPr="003560BD">
        <w:rPr>
          <w:rFonts w:ascii="Arial" w:hAnsi="Arial" w:cs="Arial"/>
          <w:sz w:val="22"/>
          <w:szCs w:val="22"/>
        </w:rPr>
        <w:lastRenderedPageBreak/>
        <w:t>SECTION V</w:t>
      </w:r>
      <w:bookmarkEnd w:id="98"/>
      <w:bookmarkEnd w:id="102"/>
    </w:p>
    <w:p w14:paraId="60D13570" w14:textId="77777777" w:rsidR="00BF6B07" w:rsidRPr="003560BD" w:rsidRDefault="00BF6B07">
      <w:pPr>
        <w:pStyle w:val="Heading2"/>
        <w:rPr>
          <w:rFonts w:ascii="Arial" w:hAnsi="Arial" w:cs="Arial"/>
          <w:sz w:val="22"/>
          <w:szCs w:val="22"/>
          <w:highlight w:val="yellow"/>
        </w:rPr>
      </w:pPr>
      <w:bookmarkStart w:id="103" w:name="_Toc46889880"/>
      <w:bookmarkStart w:id="104" w:name="_Toc483995368"/>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14:paraId="54FBE865" w14:textId="77777777"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5F0F5B4F" w14:textId="77777777" w:rsidR="00BF6B07" w:rsidRPr="003560BD" w:rsidRDefault="00BF6B07" w:rsidP="0061377C">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7" w:name="_Toc49239756"/>
      <w:bookmarkEnd w:id="106"/>
    </w:p>
    <w:p w14:paraId="6B2EBFC3" w14:textId="77777777" w:rsidR="00BF6B07" w:rsidRPr="003560BD" w:rsidRDefault="00BF6B07" w:rsidP="00635AD0">
      <w:pPr>
        <w:pStyle w:val="Level2"/>
      </w:pPr>
      <w:r w:rsidRPr="003560BD">
        <w:t>The specification is not a matter of State law;</w:t>
      </w:r>
      <w:bookmarkStart w:id="108" w:name="_Toc49239757"/>
      <w:bookmarkEnd w:id="107"/>
    </w:p>
    <w:p w14:paraId="7B7F826A" w14:textId="77777777" w:rsidR="00BF6B07" w:rsidRPr="003560BD" w:rsidRDefault="00BF6B07" w:rsidP="00635AD0">
      <w:pPr>
        <w:pStyle w:val="Level2"/>
      </w:pPr>
      <w:r w:rsidRPr="003560BD">
        <w:t>The proposal still meets the intent of the RFP;</w:t>
      </w:r>
      <w:bookmarkStart w:id="109" w:name="_Toc49239758"/>
      <w:bookmarkEnd w:id="108"/>
    </w:p>
    <w:bookmarkEnd w:id="109"/>
    <w:p w14:paraId="65BB0FF8" w14:textId="77777777" w:rsidR="00BF6B07" w:rsidRPr="003560BD" w:rsidRDefault="00BF6B07" w:rsidP="00635AD0">
      <w:pPr>
        <w:pStyle w:val="Level2"/>
      </w:pPr>
      <w:r w:rsidRPr="003560BD">
        <w:t xml:space="preserve">A </w:t>
      </w:r>
      <w:r w:rsidRPr="003560BD">
        <w:rPr>
          <w:i/>
        </w:rPr>
        <w:t>Proposal Exception Summary Form</w:t>
      </w:r>
      <w:r w:rsidRPr="003560BD">
        <w:t xml:space="preserve"> is included with Vendor’s proposal; and</w:t>
      </w:r>
    </w:p>
    <w:p w14:paraId="546099D9" w14:textId="77777777" w:rsidR="00BF6B07" w:rsidRPr="003560BD" w:rsidRDefault="00BF6B07" w:rsidP="00635AD0">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14:paraId="18FB043C"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14:paraId="70DE2293" w14:textId="77777777" w:rsidR="00BF6B07" w:rsidRPr="003560BD" w:rsidRDefault="00BF6B07" w:rsidP="00635AD0">
      <w:pPr>
        <w:pStyle w:val="Level2"/>
      </w:pPr>
      <w:r w:rsidRPr="003560BD">
        <w:t>The Vendor will withdraw the exception and meet the specification in the manner prescribed;</w:t>
      </w:r>
      <w:bookmarkStart w:id="112" w:name="_Toc49239762"/>
      <w:bookmarkEnd w:id="111"/>
    </w:p>
    <w:p w14:paraId="14E144C3" w14:textId="77777777" w:rsidR="00BF6B07" w:rsidRPr="003560BD" w:rsidRDefault="00BF6B07" w:rsidP="00635AD0">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3" w:name="_Toc49239763"/>
      <w:bookmarkEnd w:id="112"/>
    </w:p>
    <w:p w14:paraId="21179AEC" w14:textId="77777777" w:rsidR="00BF6B07" w:rsidRPr="003560BD" w:rsidRDefault="00BF6B07" w:rsidP="00635AD0">
      <w:pPr>
        <w:pStyle w:val="Level2"/>
      </w:pPr>
      <w:r w:rsidRPr="003560BD">
        <w:rPr>
          <w:b/>
          <w:bCs/>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14:paraId="219F1E69" w14:textId="77777777" w:rsidR="00BF6B07" w:rsidRPr="003560BD" w:rsidRDefault="00BF6B07" w:rsidP="00635AD0">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5" w:name="_Toc49239765"/>
      <w:bookmarkEnd w:id="114"/>
    </w:p>
    <w:p w14:paraId="705E7157" w14:textId="77777777"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722F1695"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14:paraId="13823543"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05420ACF" w14:textId="77777777"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14:paraId="51A554E8"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14:paraId="4EB71A7A" w14:textId="77777777" w:rsidR="00BF6B07" w:rsidRPr="003560BD" w:rsidRDefault="00BF6B07">
      <w:pPr>
        <w:pStyle w:val="Heading2"/>
        <w:rPr>
          <w:rFonts w:ascii="Arial" w:hAnsi="Arial" w:cs="Arial"/>
          <w:sz w:val="22"/>
          <w:szCs w:val="22"/>
        </w:rPr>
      </w:pPr>
      <w:bookmarkStart w:id="118" w:name="_Toc483995369"/>
      <w:r w:rsidRPr="003560BD">
        <w:rPr>
          <w:rFonts w:ascii="Arial" w:hAnsi="Arial" w:cs="Arial"/>
          <w:sz w:val="22"/>
          <w:szCs w:val="22"/>
        </w:rPr>
        <w:lastRenderedPageBreak/>
        <w:t>PROPOSAL EXCEPTION SUMMARY FORM</w:t>
      </w:r>
      <w:bookmarkEnd w:id="118"/>
    </w:p>
    <w:p w14:paraId="617F9E20" w14:textId="77777777" w:rsidR="00BF6B07" w:rsidRPr="003560BD" w:rsidRDefault="00BF6B07" w:rsidP="00BF6B07">
      <w:pPr>
        <w:rPr>
          <w:rFonts w:ascii="Arial" w:hAnsi="Arial" w:cs="Arial"/>
          <w:b/>
          <w:sz w:val="22"/>
          <w:szCs w:val="22"/>
        </w:rPr>
      </w:pPr>
    </w:p>
    <w:p w14:paraId="77E2095D"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358E2986" w14:textId="77777777" w:rsidR="00BF6B07" w:rsidRPr="003560BD" w:rsidRDefault="00BF6B07">
      <w:pPr>
        <w:pStyle w:val="Heading9"/>
        <w:rPr>
          <w:rFonts w:ascii="Arial" w:hAnsi="Arial" w:cs="Arial"/>
          <w:sz w:val="22"/>
          <w:szCs w:val="22"/>
        </w:rPr>
      </w:pPr>
    </w:p>
    <w:p w14:paraId="29DBD385"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4E0DD07" w14:textId="77777777">
        <w:tc>
          <w:tcPr>
            <w:tcW w:w="1978" w:type="dxa"/>
          </w:tcPr>
          <w:p w14:paraId="714E66FC"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67D1D14C"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77574545"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6A096126"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14:paraId="269BF850" w14:textId="77777777">
        <w:tc>
          <w:tcPr>
            <w:tcW w:w="1978" w:type="dxa"/>
          </w:tcPr>
          <w:p w14:paraId="418C1070"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55F69B0"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286645FA"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769754C5" w14:textId="77777777" w:rsidR="00BF6B07" w:rsidRPr="003560BD" w:rsidRDefault="00BF6B07">
            <w:pPr>
              <w:rPr>
                <w:rFonts w:ascii="Arial" w:hAnsi="Arial" w:cs="Arial"/>
                <w:sz w:val="22"/>
                <w:szCs w:val="22"/>
              </w:rPr>
            </w:pPr>
          </w:p>
        </w:tc>
      </w:tr>
      <w:tr w:rsidR="00BF6B07" w:rsidRPr="003560BD" w14:paraId="041275ED" w14:textId="77777777">
        <w:tc>
          <w:tcPr>
            <w:tcW w:w="1978" w:type="dxa"/>
          </w:tcPr>
          <w:p w14:paraId="4891DA85"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1E7908C5" w14:textId="77777777" w:rsidR="00BF6B07" w:rsidRPr="003560BD" w:rsidRDefault="00BF6B07">
            <w:pPr>
              <w:rPr>
                <w:rFonts w:ascii="Arial" w:hAnsi="Arial" w:cs="Arial"/>
                <w:sz w:val="22"/>
                <w:szCs w:val="22"/>
              </w:rPr>
            </w:pPr>
          </w:p>
        </w:tc>
        <w:tc>
          <w:tcPr>
            <w:tcW w:w="2394" w:type="dxa"/>
          </w:tcPr>
          <w:p w14:paraId="245228FD" w14:textId="77777777" w:rsidR="00BF6B07" w:rsidRPr="003560BD" w:rsidRDefault="00BF6B07">
            <w:pPr>
              <w:rPr>
                <w:rFonts w:ascii="Arial" w:hAnsi="Arial" w:cs="Arial"/>
                <w:sz w:val="22"/>
                <w:szCs w:val="22"/>
              </w:rPr>
            </w:pPr>
          </w:p>
        </w:tc>
        <w:tc>
          <w:tcPr>
            <w:tcW w:w="2394" w:type="dxa"/>
          </w:tcPr>
          <w:p w14:paraId="7EFB26F5" w14:textId="77777777" w:rsidR="00BF6B07" w:rsidRPr="003560BD" w:rsidRDefault="00BF6B07">
            <w:pPr>
              <w:rPr>
                <w:rFonts w:ascii="Arial" w:hAnsi="Arial" w:cs="Arial"/>
                <w:sz w:val="22"/>
                <w:szCs w:val="22"/>
              </w:rPr>
            </w:pPr>
          </w:p>
        </w:tc>
      </w:tr>
      <w:tr w:rsidR="00BF6B07" w:rsidRPr="003560BD" w14:paraId="107DB988" w14:textId="77777777">
        <w:tc>
          <w:tcPr>
            <w:tcW w:w="1978" w:type="dxa"/>
          </w:tcPr>
          <w:p w14:paraId="5342AE62"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4028C2AA" w14:textId="77777777" w:rsidR="00BF6B07" w:rsidRPr="003560BD" w:rsidRDefault="00BF6B07">
            <w:pPr>
              <w:rPr>
                <w:rFonts w:ascii="Arial" w:hAnsi="Arial" w:cs="Arial"/>
                <w:sz w:val="22"/>
                <w:szCs w:val="22"/>
              </w:rPr>
            </w:pPr>
          </w:p>
        </w:tc>
        <w:tc>
          <w:tcPr>
            <w:tcW w:w="2394" w:type="dxa"/>
          </w:tcPr>
          <w:p w14:paraId="76C0BE29" w14:textId="77777777" w:rsidR="00BF6B07" w:rsidRPr="003560BD" w:rsidRDefault="00BF6B07">
            <w:pPr>
              <w:rPr>
                <w:rFonts w:ascii="Arial" w:hAnsi="Arial" w:cs="Arial"/>
                <w:sz w:val="22"/>
                <w:szCs w:val="22"/>
              </w:rPr>
            </w:pPr>
          </w:p>
        </w:tc>
        <w:tc>
          <w:tcPr>
            <w:tcW w:w="2394" w:type="dxa"/>
          </w:tcPr>
          <w:p w14:paraId="5B4C12E5" w14:textId="77777777" w:rsidR="00BF6B07" w:rsidRPr="003560BD" w:rsidRDefault="00BF6B07">
            <w:pPr>
              <w:rPr>
                <w:rFonts w:ascii="Arial" w:hAnsi="Arial" w:cs="Arial"/>
                <w:sz w:val="22"/>
                <w:szCs w:val="22"/>
              </w:rPr>
            </w:pPr>
          </w:p>
        </w:tc>
      </w:tr>
      <w:tr w:rsidR="00BF6B07" w:rsidRPr="003560BD" w14:paraId="7E161BCB" w14:textId="77777777">
        <w:tc>
          <w:tcPr>
            <w:tcW w:w="1978" w:type="dxa"/>
          </w:tcPr>
          <w:p w14:paraId="42433DD2"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28A76999" w14:textId="77777777" w:rsidR="00BF6B07" w:rsidRPr="003560BD" w:rsidRDefault="00BF6B07">
            <w:pPr>
              <w:rPr>
                <w:rFonts w:ascii="Arial" w:hAnsi="Arial" w:cs="Arial"/>
                <w:sz w:val="22"/>
                <w:szCs w:val="22"/>
              </w:rPr>
            </w:pPr>
          </w:p>
        </w:tc>
        <w:tc>
          <w:tcPr>
            <w:tcW w:w="2394" w:type="dxa"/>
          </w:tcPr>
          <w:p w14:paraId="398AD0EC" w14:textId="77777777" w:rsidR="00BF6B07" w:rsidRPr="003560BD" w:rsidRDefault="00BF6B07">
            <w:pPr>
              <w:rPr>
                <w:rFonts w:ascii="Arial" w:hAnsi="Arial" w:cs="Arial"/>
                <w:sz w:val="22"/>
                <w:szCs w:val="22"/>
              </w:rPr>
            </w:pPr>
          </w:p>
        </w:tc>
        <w:tc>
          <w:tcPr>
            <w:tcW w:w="2394" w:type="dxa"/>
          </w:tcPr>
          <w:p w14:paraId="1D7DCC5F" w14:textId="77777777" w:rsidR="00BF6B07" w:rsidRPr="003560BD" w:rsidRDefault="00BF6B07">
            <w:pPr>
              <w:rPr>
                <w:rFonts w:ascii="Arial" w:hAnsi="Arial" w:cs="Arial"/>
                <w:sz w:val="22"/>
                <w:szCs w:val="22"/>
              </w:rPr>
            </w:pPr>
          </w:p>
        </w:tc>
      </w:tr>
      <w:tr w:rsidR="00BF6B07" w:rsidRPr="003560BD" w14:paraId="5B1E4FC3" w14:textId="77777777">
        <w:tc>
          <w:tcPr>
            <w:tcW w:w="1978" w:type="dxa"/>
          </w:tcPr>
          <w:p w14:paraId="31353F4C"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62CA0685" w14:textId="77777777" w:rsidR="00BF6B07" w:rsidRPr="003560BD" w:rsidRDefault="00BF6B07">
            <w:pPr>
              <w:rPr>
                <w:rFonts w:ascii="Arial" w:hAnsi="Arial" w:cs="Arial"/>
                <w:sz w:val="22"/>
                <w:szCs w:val="22"/>
              </w:rPr>
            </w:pPr>
          </w:p>
        </w:tc>
        <w:tc>
          <w:tcPr>
            <w:tcW w:w="2394" w:type="dxa"/>
          </w:tcPr>
          <w:p w14:paraId="7B691A31" w14:textId="77777777" w:rsidR="00BF6B07" w:rsidRPr="003560BD" w:rsidRDefault="00BF6B07">
            <w:pPr>
              <w:rPr>
                <w:rFonts w:ascii="Arial" w:hAnsi="Arial" w:cs="Arial"/>
                <w:sz w:val="22"/>
                <w:szCs w:val="22"/>
              </w:rPr>
            </w:pPr>
          </w:p>
        </w:tc>
        <w:tc>
          <w:tcPr>
            <w:tcW w:w="2394" w:type="dxa"/>
          </w:tcPr>
          <w:p w14:paraId="0A1ED000" w14:textId="77777777" w:rsidR="00BF6B07" w:rsidRPr="003560BD" w:rsidRDefault="00BF6B07">
            <w:pPr>
              <w:rPr>
                <w:rFonts w:ascii="Arial" w:hAnsi="Arial" w:cs="Arial"/>
                <w:sz w:val="22"/>
                <w:szCs w:val="22"/>
              </w:rPr>
            </w:pPr>
          </w:p>
        </w:tc>
      </w:tr>
      <w:tr w:rsidR="00290FFF" w:rsidRPr="003560BD" w14:paraId="2A5CE19C" w14:textId="77777777">
        <w:tc>
          <w:tcPr>
            <w:tcW w:w="1978" w:type="dxa"/>
          </w:tcPr>
          <w:p w14:paraId="34E6DBC9"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178A6FBC" w14:textId="77777777" w:rsidR="00290FFF" w:rsidRPr="003560BD" w:rsidRDefault="00290FFF">
            <w:pPr>
              <w:rPr>
                <w:rFonts w:ascii="Arial" w:hAnsi="Arial" w:cs="Arial"/>
                <w:sz w:val="22"/>
                <w:szCs w:val="22"/>
              </w:rPr>
            </w:pPr>
          </w:p>
        </w:tc>
        <w:tc>
          <w:tcPr>
            <w:tcW w:w="2394" w:type="dxa"/>
          </w:tcPr>
          <w:p w14:paraId="34ED3E3D" w14:textId="77777777" w:rsidR="00290FFF" w:rsidRPr="003560BD" w:rsidRDefault="00290FFF">
            <w:pPr>
              <w:rPr>
                <w:rFonts w:ascii="Arial" w:hAnsi="Arial" w:cs="Arial"/>
                <w:sz w:val="22"/>
                <w:szCs w:val="22"/>
              </w:rPr>
            </w:pPr>
          </w:p>
        </w:tc>
        <w:tc>
          <w:tcPr>
            <w:tcW w:w="2394" w:type="dxa"/>
          </w:tcPr>
          <w:p w14:paraId="0C7973D1" w14:textId="77777777" w:rsidR="00290FFF" w:rsidRPr="003560BD" w:rsidRDefault="00290FFF">
            <w:pPr>
              <w:rPr>
                <w:rFonts w:ascii="Arial" w:hAnsi="Arial" w:cs="Arial"/>
                <w:sz w:val="22"/>
                <w:szCs w:val="22"/>
              </w:rPr>
            </w:pPr>
          </w:p>
        </w:tc>
      </w:tr>
      <w:tr w:rsidR="00290FFF" w:rsidRPr="003560BD" w14:paraId="596ECAE2" w14:textId="77777777">
        <w:tc>
          <w:tcPr>
            <w:tcW w:w="1978" w:type="dxa"/>
          </w:tcPr>
          <w:p w14:paraId="4847D87E"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074923CE" w14:textId="77777777" w:rsidR="00290FFF" w:rsidRPr="003560BD" w:rsidRDefault="00290FFF">
            <w:pPr>
              <w:rPr>
                <w:rFonts w:ascii="Arial" w:hAnsi="Arial" w:cs="Arial"/>
                <w:sz w:val="22"/>
                <w:szCs w:val="22"/>
              </w:rPr>
            </w:pPr>
          </w:p>
        </w:tc>
        <w:tc>
          <w:tcPr>
            <w:tcW w:w="2394" w:type="dxa"/>
          </w:tcPr>
          <w:p w14:paraId="1BEF5AFF" w14:textId="77777777" w:rsidR="00290FFF" w:rsidRPr="003560BD" w:rsidRDefault="00290FFF">
            <w:pPr>
              <w:rPr>
                <w:rFonts w:ascii="Arial" w:hAnsi="Arial" w:cs="Arial"/>
                <w:sz w:val="22"/>
                <w:szCs w:val="22"/>
              </w:rPr>
            </w:pPr>
          </w:p>
        </w:tc>
        <w:tc>
          <w:tcPr>
            <w:tcW w:w="2394" w:type="dxa"/>
          </w:tcPr>
          <w:p w14:paraId="4882B537" w14:textId="77777777" w:rsidR="00290FFF" w:rsidRPr="003560BD" w:rsidRDefault="00290FFF">
            <w:pPr>
              <w:rPr>
                <w:rFonts w:ascii="Arial" w:hAnsi="Arial" w:cs="Arial"/>
                <w:sz w:val="22"/>
                <w:szCs w:val="22"/>
              </w:rPr>
            </w:pPr>
          </w:p>
        </w:tc>
      </w:tr>
      <w:tr w:rsidR="00290FFF" w:rsidRPr="003560BD" w14:paraId="26A44AD3" w14:textId="77777777">
        <w:tc>
          <w:tcPr>
            <w:tcW w:w="1978" w:type="dxa"/>
          </w:tcPr>
          <w:p w14:paraId="0A6A1A05"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374E418" w14:textId="77777777" w:rsidR="00290FFF" w:rsidRPr="003560BD" w:rsidRDefault="00290FFF">
            <w:pPr>
              <w:rPr>
                <w:rFonts w:ascii="Arial" w:hAnsi="Arial" w:cs="Arial"/>
                <w:sz w:val="22"/>
                <w:szCs w:val="22"/>
              </w:rPr>
            </w:pPr>
          </w:p>
        </w:tc>
        <w:tc>
          <w:tcPr>
            <w:tcW w:w="2394" w:type="dxa"/>
          </w:tcPr>
          <w:p w14:paraId="565F41FC" w14:textId="77777777" w:rsidR="00290FFF" w:rsidRPr="003560BD" w:rsidRDefault="00290FFF">
            <w:pPr>
              <w:rPr>
                <w:rFonts w:ascii="Arial" w:hAnsi="Arial" w:cs="Arial"/>
                <w:sz w:val="22"/>
                <w:szCs w:val="22"/>
              </w:rPr>
            </w:pPr>
          </w:p>
        </w:tc>
        <w:tc>
          <w:tcPr>
            <w:tcW w:w="2394" w:type="dxa"/>
          </w:tcPr>
          <w:p w14:paraId="1F735583" w14:textId="77777777" w:rsidR="00290FFF" w:rsidRPr="003560BD" w:rsidRDefault="00290FFF">
            <w:pPr>
              <w:rPr>
                <w:rFonts w:ascii="Arial" w:hAnsi="Arial" w:cs="Arial"/>
                <w:sz w:val="22"/>
                <w:szCs w:val="22"/>
              </w:rPr>
            </w:pPr>
          </w:p>
        </w:tc>
      </w:tr>
    </w:tbl>
    <w:p w14:paraId="07D73807" w14:textId="77777777" w:rsidR="00BF6B07" w:rsidRPr="003560BD" w:rsidRDefault="00BF6B07">
      <w:pPr>
        <w:rPr>
          <w:rFonts w:ascii="Arial" w:hAnsi="Arial" w:cs="Arial"/>
          <w:sz w:val="22"/>
          <w:szCs w:val="22"/>
        </w:rPr>
      </w:pPr>
    </w:p>
    <w:p w14:paraId="668D20EF"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4F355A19"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4CCE52CA" w14:textId="77777777" w:rsidR="00BF6B07" w:rsidRPr="003560BD" w:rsidRDefault="00BF6B07">
      <w:pPr>
        <w:pStyle w:val="Heading1"/>
        <w:rPr>
          <w:rFonts w:ascii="Arial" w:hAnsi="Arial" w:cs="Arial"/>
          <w:sz w:val="22"/>
          <w:szCs w:val="22"/>
        </w:rPr>
      </w:pPr>
      <w:bookmarkStart w:id="119" w:name="_Toc483995370"/>
      <w:r w:rsidRPr="003560BD">
        <w:rPr>
          <w:rFonts w:ascii="Arial" w:hAnsi="Arial" w:cs="Arial"/>
          <w:sz w:val="22"/>
          <w:szCs w:val="22"/>
        </w:rPr>
        <w:lastRenderedPageBreak/>
        <w:t>SECTION V</w:t>
      </w:r>
      <w:bookmarkEnd w:id="99"/>
      <w:r w:rsidRPr="003560BD">
        <w:rPr>
          <w:rFonts w:ascii="Arial" w:hAnsi="Arial" w:cs="Arial"/>
          <w:sz w:val="22"/>
          <w:szCs w:val="22"/>
        </w:rPr>
        <w:t>I</w:t>
      </w:r>
      <w:bookmarkEnd w:id="119"/>
    </w:p>
    <w:p w14:paraId="224AE3D4" w14:textId="77777777" w:rsidR="00BF6B07" w:rsidRPr="003560BD" w:rsidRDefault="00BF6B07">
      <w:pPr>
        <w:pStyle w:val="Heading2"/>
        <w:rPr>
          <w:rFonts w:ascii="Arial" w:hAnsi="Arial" w:cs="Arial"/>
          <w:sz w:val="22"/>
          <w:szCs w:val="22"/>
        </w:rPr>
      </w:pPr>
      <w:bookmarkStart w:id="120" w:name="_Toc483995371"/>
      <w:r w:rsidRPr="003560BD">
        <w:rPr>
          <w:rFonts w:ascii="Arial" w:hAnsi="Arial" w:cs="Arial"/>
          <w:sz w:val="22"/>
          <w:szCs w:val="22"/>
        </w:rPr>
        <w:t>RFP QUESTIONNAIRE</w:t>
      </w:r>
      <w:bookmarkEnd w:id="120"/>
    </w:p>
    <w:p w14:paraId="2E130AB1" w14:textId="77777777" w:rsidR="00BF6B07" w:rsidRPr="003560BD" w:rsidRDefault="00BF6B07">
      <w:pPr>
        <w:pStyle w:val="Body"/>
        <w:ind w:left="0"/>
        <w:rPr>
          <w:rFonts w:ascii="Arial" w:hAnsi="Arial" w:cs="Arial"/>
          <w:b/>
          <w:bCs/>
          <w:szCs w:val="22"/>
        </w:rPr>
      </w:pPr>
    </w:p>
    <w:p w14:paraId="2B8DF780" w14:textId="77777777" w:rsidR="00BF6B07" w:rsidRPr="003560BD" w:rsidRDefault="00BF6B07" w:rsidP="00BF6B07">
      <w:pPr>
        <w:jc w:val="both"/>
        <w:rPr>
          <w:rFonts w:ascii="Arial" w:hAnsi="Arial" w:cs="Arial"/>
          <w:sz w:val="22"/>
          <w:szCs w:val="22"/>
        </w:rPr>
      </w:pPr>
      <w:bookmarkStart w:id="121" w:name="_Toc49239739"/>
      <w:r w:rsidRPr="003560BD">
        <w:rPr>
          <w:rFonts w:ascii="Arial" w:hAnsi="Arial" w:cs="Arial"/>
          <w:sz w:val="22"/>
          <w:szCs w:val="22"/>
        </w:rPr>
        <w:t>Please answer each question or provide the information as requested in this section.</w:t>
      </w:r>
    </w:p>
    <w:p w14:paraId="005CC31E"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1"/>
    </w:p>
    <w:p w14:paraId="01B612AB" w14:textId="77777777" w:rsidR="00A73A46" w:rsidRPr="00564B76" w:rsidRDefault="007A35CA" w:rsidP="00635AD0">
      <w:pPr>
        <w:pStyle w:val="Level2"/>
        <w:rPr>
          <w:u w:val="single"/>
        </w:rPr>
      </w:pPr>
      <w:bookmarkStart w:id="122"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40F6E983" w14:textId="77777777" w:rsidR="00A73A46" w:rsidRPr="00595502" w:rsidRDefault="00C64F08" w:rsidP="00883216">
      <w:pPr>
        <w:pStyle w:val="Level2"/>
        <w:numPr>
          <w:ilvl w:val="0"/>
          <w:numId w:val="0"/>
        </w:numPr>
        <w:ind w:left="720"/>
        <w:rPr>
          <w:sz w:val="18"/>
          <w:szCs w:val="18"/>
          <w:u w:val="single"/>
        </w:rPr>
      </w:pPr>
      <w:r>
        <w:tab/>
      </w:r>
      <w:hyperlink w:history="1"/>
      <w:hyperlink r:id="rId30" w:history="1">
        <w:r w:rsidR="003D71F8" w:rsidRPr="00595502">
          <w:rPr>
            <w:rStyle w:val="Hyperlink"/>
            <w:sz w:val="18"/>
            <w:szCs w:val="18"/>
          </w:rPr>
          <w:t>https://sus.magic.ms.gov/sap/bc/webdynpro/sapsrm/wda_e_suco_sreg?sap-client=100</w:t>
        </w:r>
      </w:hyperlink>
      <w:r w:rsidR="00C67BAE" w:rsidRPr="00595502">
        <w:rPr>
          <w:sz w:val="18"/>
          <w:szCs w:val="18"/>
          <w:u w:val="single"/>
        </w:rPr>
        <w:t xml:space="preserve"> </w:t>
      </w:r>
      <w:r w:rsidR="00A73A46" w:rsidRPr="00595502">
        <w:rPr>
          <w:sz w:val="18"/>
          <w:szCs w:val="18"/>
          <w:u w:val="single"/>
        </w:rPr>
        <w:t xml:space="preserve"> </w:t>
      </w:r>
    </w:p>
    <w:p w14:paraId="5B692210" w14:textId="77777777" w:rsidR="00C75C24" w:rsidRDefault="00282312" w:rsidP="00883216">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6B4CB7C5" w14:textId="77777777" w:rsidR="00C75C24" w:rsidRPr="00595502" w:rsidRDefault="00974D97"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7932F959" w14:textId="77777777" w:rsidR="00BF6B07" w:rsidRPr="004A080B" w:rsidRDefault="00282312" w:rsidP="00883216">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2"/>
    </w:p>
    <w:p w14:paraId="3394C40B" w14:textId="77777777" w:rsidR="00BF6B07" w:rsidRPr="00595502" w:rsidRDefault="00AA1182" w:rsidP="00595502">
      <w:pPr>
        <w:pStyle w:val="Level1"/>
        <w:numPr>
          <w:ilvl w:val="0"/>
          <w:numId w:val="0"/>
        </w:numPr>
        <w:ind w:left="1440" w:firstLine="720"/>
        <w:jc w:val="both"/>
        <w:rPr>
          <w:rFonts w:ascii="Arial" w:hAnsi="Arial" w:cs="Arial"/>
          <w:szCs w:val="24"/>
        </w:rPr>
      </w:pPr>
      <w:bookmarkStart w:id="123"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3"/>
    </w:p>
    <w:p w14:paraId="6D31A572" w14:textId="77777777" w:rsidR="00682E9E" w:rsidRDefault="00BF6B07" w:rsidP="00635AD0">
      <w:pPr>
        <w:pStyle w:val="Level2"/>
      </w:pPr>
      <w:bookmarkStart w:id="124"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24A5033F" w14:textId="77777777" w:rsidR="000B162F" w:rsidRPr="00595502" w:rsidRDefault="00974D97" w:rsidP="00883216">
      <w:pPr>
        <w:pStyle w:val="Level2"/>
        <w:numPr>
          <w:ilvl w:val="0"/>
          <w:numId w:val="0"/>
        </w:numPr>
        <w:ind w:left="1800"/>
        <w:rPr>
          <w:sz w:val="20"/>
        </w:rPr>
      </w:pPr>
      <w:hyperlink r:id="rId32" w:history="1">
        <w:r w:rsidR="00B14AAE" w:rsidRPr="00595502">
          <w:rPr>
            <w:rStyle w:val="Hyperlink"/>
            <w:sz w:val="20"/>
          </w:rPr>
          <w:t>http://www.mississippi.org/assets/docs/minority/minority_vendor_selfcertform.pdf</w:t>
        </w:r>
      </w:hyperlink>
    </w:p>
    <w:p w14:paraId="697A530A" w14:textId="77777777" w:rsidR="00844533" w:rsidRDefault="00BF6B07" w:rsidP="00883216">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4"/>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14D08798" w14:textId="77777777" w:rsidR="00BF6B07" w:rsidRPr="003560BD" w:rsidRDefault="00BF6B07" w:rsidP="00BF6B07">
      <w:pPr>
        <w:pStyle w:val="Level1"/>
        <w:jc w:val="both"/>
        <w:rPr>
          <w:rFonts w:ascii="Arial" w:hAnsi="Arial" w:cs="Arial"/>
          <w:color w:val="000000"/>
          <w:sz w:val="22"/>
          <w:szCs w:val="22"/>
        </w:rPr>
      </w:pPr>
      <w:r w:rsidRPr="003560BD">
        <w:rPr>
          <w:rFonts w:ascii="Arial" w:hAnsi="Arial" w:cs="Arial"/>
          <w:b/>
          <w:bCs/>
          <w:sz w:val="22"/>
          <w:szCs w:val="22"/>
        </w:rPr>
        <w:t>Certification of Authority to Se</w:t>
      </w:r>
      <w:r w:rsidR="000F3BFE">
        <w:rPr>
          <w:rFonts w:ascii="Arial" w:hAnsi="Arial" w:cs="Arial"/>
          <w:b/>
          <w:bCs/>
          <w:sz w:val="22"/>
          <w:szCs w:val="22"/>
        </w:rPr>
        <w:t>ll</w:t>
      </w:r>
    </w:p>
    <w:p w14:paraId="1EEE8758"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5" w:name="_Toc49239747"/>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3FCB0C7E"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lastRenderedPageBreak/>
        <w:t>C</w:t>
      </w:r>
      <w:r w:rsidR="00BF6B07" w:rsidRPr="0016617A">
        <w:rPr>
          <w:rFonts w:ascii="Arial" w:hAnsi="Arial" w:cs="Arial"/>
          <w:b/>
          <w:bCs/>
          <w:sz w:val="22"/>
          <w:szCs w:val="22"/>
        </w:rPr>
        <w:t>ertification of No Conflict of Interest</w:t>
      </w:r>
    </w:p>
    <w:p w14:paraId="6BAB0939"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14:paraId="1B8DCC8A" w14:textId="77777777" w:rsidR="00BF6B07" w:rsidRPr="003560BD" w:rsidRDefault="00BF6B07" w:rsidP="00635AD0">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6"/>
    </w:p>
    <w:p w14:paraId="29EC954A" w14:textId="77777777" w:rsidR="00BF6B07" w:rsidRPr="003560BD" w:rsidRDefault="00BF6B07" w:rsidP="00635AD0">
      <w:pPr>
        <w:pStyle w:val="Level2"/>
      </w:pPr>
      <w:bookmarkStart w:id="127"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7"/>
    </w:p>
    <w:p w14:paraId="7427F279" w14:textId="77777777" w:rsidR="00BF6B07" w:rsidRPr="003560BD" w:rsidRDefault="00BF6B07" w:rsidP="00BF6B07">
      <w:pPr>
        <w:pStyle w:val="Level1"/>
        <w:jc w:val="both"/>
        <w:rPr>
          <w:rFonts w:ascii="Arial" w:hAnsi="Arial" w:cs="Arial"/>
          <w:color w:val="000000"/>
          <w:sz w:val="22"/>
          <w:szCs w:val="22"/>
        </w:rPr>
      </w:pPr>
      <w:bookmarkStart w:id="128" w:name="_Toc49239750"/>
      <w:r w:rsidRPr="003560BD">
        <w:rPr>
          <w:rFonts w:ascii="Arial" w:hAnsi="Arial" w:cs="Arial"/>
          <w:b/>
          <w:bCs/>
          <w:sz w:val="22"/>
          <w:szCs w:val="22"/>
        </w:rPr>
        <w:t>Pending Legal Actions</w:t>
      </w:r>
      <w:bookmarkEnd w:id="128"/>
    </w:p>
    <w:p w14:paraId="3B8E0DCF" w14:textId="77777777" w:rsidR="00B55EC5" w:rsidRDefault="00B55EC5" w:rsidP="00B55EC5">
      <w:pPr>
        <w:pStyle w:val="Level2"/>
        <w:tabs>
          <w:tab w:val="clear" w:pos="1800"/>
          <w:tab w:val="left" w:pos="1710"/>
          <w:tab w:val="left" w:pos="2520"/>
          <w:tab w:val="left" w:pos="7740"/>
        </w:tabs>
        <w:spacing w:after="240"/>
        <w:ind w:left="1710" w:hanging="990"/>
      </w:pPr>
      <w:r w:rsidRPr="003560BD">
        <w:t>Are there any lawsuits or other legal proceedings against the Vendor that pertain to any of the software, hardware, or other materials and/or services which are a</w:t>
      </w:r>
      <w:r>
        <w:t xml:space="preserve"> part of the Vendor’s proposal?</w:t>
      </w:r>
      <w:r w:rsidRPr="003560BD">
        <w:t xml:space="preserve"> (A yes or no answer is required.)</w:t>
      </w:r>
    </w:p>
    <w:p w14:paraId="53B48FCC" w14:textId="77777777" w:rsidR="00B55EC5" w:rsidRDefault="00B55EC5" w:rsidP="00B55EC5">
      <w:pPr>
        <w:pStyle w:val="Level2"/>
        <w:tabs>
          <w:tab w:val="clear" w:pos="1800"/>
          <w:tab w:val="left" w:pos="1710"/>
          <w:tab w:val="left" w:pos="2520"/>
          <w:tab w:val="left" w:pos="7740"/>
        </w:tabs>
        <w:spacing w:after="240"/>
        <w:ind w:left="1710" w:hanging="990"/>
      </w:pPr>
      <w:r>
        <w:t>Are there any criminal or civil proceedings (federal or state) pending against the Venodr or its principals or employees that pertain to any public procurement within the State of Mississippi or elsewhere? (A yes or no answer is required.)</w:t>
      </w:r>
    </w:p>
    <w:p w14:paraId="50FD5788" w14:textId="77777777" w:rsidR="00B55EC5" w:rsidRDefault="00B55EC5" w:rsidP="00B55EC5">
      <w:pPr>
        <w:pStyle w:val="Level2"/>
        <w:tabs>
          <w:tab w:val="clear" w:pos="1800"/>
          <w:tab w:val="left" w:pos="1710"/>
          <w:tab w:val="left" w:pos="2520"/>
          <w:tab w:val="left" w:pos="7740"/>
        </w:tabs>
        <w:spacing w:after="240"/>
        <w:ind w:left="1710" w:hanging="990"/>
      </w:pPr>
      <w:r w:rsidRPr="00C53B42">
        <w:t>If your answer to either of the above is “yes”, provide a copy of same with your proposal and state with specificity the current status of the proceedings.</w:t>
      </w:r>
    </w:p>
    <w:p w14:paraId="2213CEC1" w14:textId="77777777" w:rsidR="00B55EC5" w:rsidRPr="00C53B42" w:rsidRDefault="00B55EC5" w:rsidP="00B55EC5">
      <w:pPr>
        <w:pStyle w:val="Level2"/>
        <w:tabs>
          <w:tab w:val="clear" w:pos="1800"/>
          <w:tab w:val="left" w:pos="1710"/>
          <w:tab w:val="left" w:pos="2520"/>
          <w:tab w:val="left" w:pos="7740"/>
        </w:tabs>
        <w:spacing w:after="240"/>
        <w:ind w:left="1710" w:hanging="990"/>
      </w:pPr>
      <w:r w:rsidRPr="00C53B42">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p>
    <w:p w14:paraId="6CEF8D7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3D13EA46"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14:paraId="400F4EA1"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Order and Remit Address</w:t>
      </w:r>
    </w:p>
    <w:p w14:paraId="2648501B"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F35D893" w14:textId="77777777" w:rsidR="00BF6B07" w:rsidRPr="003560BD" w:rsidRDefault="00BF6B07" w:rsidP="00BF6B07">
      <w:pPr>
        <w:pStyle w:val="Body"/>
        <w:jc w:val="both"/>
        <w:rPr>
          <w:rFonts w:ascii="Arial" w:hAnsi="Arial" w:cs="Arial"/>
          <w:szCs w:val="22"/>
        </w:rPr>
      </w:pPr>
    </w:p>
    <w:p w14:paraId="0FC26529" w14:textId="77777777" w:rsidR="00BF6B07" w:rsidRPr="003560BD" w:rsidRDefault="00765C44" w:rsidP="00BF6B07">
      <w:pPr>
        <w:pStyle w:val="Body"/>
        <w:jc w:val="both"/>
        <w:rPr>
          <w:rFonts w:ascii="Arial" w:hAnsi="Arial" w:cs="Arial"/>
          <w:szCs w:val="22"/>
        </w:rPr>
      </w:pPr>
      <w:r w:rsidRPr="003560BD">
        <w:rPr>
          <w:rFonts w:ascii="Arial" w:hAnsi="Arial" w:cs="Arial"/>
          <w:noProof/>
          <w:szCs w:val="22"/>
        </w:rPr>
        <w:lastRenderedPageBreak/>
        <mc:AlternateContent>
          <mc:Choice Requires="wps">
            <w:drawing>
              <wp:anchor distT="0" distB="0" distL="114300" distR="114300" simplePos="0" relativeHeight="251657728" behindDoc="0" locked="0" layoutInCell="1" allowOverlap="1" wp14:anchorId="34BC27AF" wp14:editId="314B25FD">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EFCBCB2" w14:textId="77777777" w:rsidR="00D37800" w:rsidRDefault="00D37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27AF"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14:paraId="2EFCBCB2" w14:textId="77777777" w:rsidR="00D37800" w:rsidRDefault="00D37800"/>
                  </w:txbxContent>
                </v:textbox>
                <w10:wrap type="topAndBottom"/>
              </v:shape>
            </w:pict>
          </mc:Fallback>
        </mc:AlternateContent>
      </w:r>
      <w:r w:rsidR="00BF6B07" w:rsidRPr="003560BD">
        <w:rPr>
          <w:rFonts w:ascii="Arial" w:hAnsi="Arial" w:cs="Arial"/>
          <w:szCs w:val="22"/>
        </w:rPr>
        <w:t>Order Address:</w:t>
      </w:r>
    </w:p>
    <w:p w14:paraId="2FAF7CA2" w14:textId="77777777" w:rsidR="00BF6B07" w:rsidRPr="003560BD" w:rsidRDefault="00BF6B07" w:rsidP="00BF6B07">
      <w:pPr>
        <w:pStyle w:val="Body"/>
        <w:jc w:val="both"/>
        <w:rPr>
          <w:rFonts w:ascii="Arial" w:hAnsi="Arial" w:cs="Arial"/>
          <w:szCs w:val="22"/>
        </w:rPr>
      </w:pPr>
    </w:p>
    <w:p w14:paraId="7A4D292A"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7D313A0C" w14:textId="77777777" w:rsidR="00BF6B07" w:rsidRPr="003560BD" w:rsidRDefault="00765C4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2AFD2457" wp14:editId="4C67F7BE">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2963354" w14:textId="77777777" w:rsidR="00D37800" w:rsidRDefault="00D37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2457"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14:paraId="12963354" w14:textId="77777777" w:rsidR="00D37800" w:rsidRDefault="00D37800"/>
                  </w:txbxContent>
                </v:textbox>
                <w10:wrap type="topAndBottom"/>
              </v:shape>
            </w:pict>
          </mc:Fallback>
        </mc:AlternateContent>
      </w:r>
    </w:p>
    <w:p w14:paraId="648CE00F" w14:textId="77777777" w:rsidR="00B55EC5" w:rsidRDefault="00B55EC5" w:rsidP="00B55EC5">
      <w:pPr>
        <w:pStyle w:val="Level1"/>
        <w:jc w:val="both"/>
        <w:rPr>
          <w:rFonts w:ascii="Arial" w:hAnsi="Arial" w:cs="Arial"/>
          <w:b/>
          <w:sz w:val="22"/>
          <w:szCs w:val="22"/>
        </w:rPr>
      </w:pPr>
      <w:r>
        <w:rPr>
          <w:rFonts w:ascii="Arial" w:hAnsi="Arial" w:cs="Arial"/>
          <w:b/>
          <w:sz w:val="22"/>
          <w:szCs w:val="22"/>
        </w:rPr>
        <w:t>Taxpayer Identification Number</w:t>
      </w:r>
    </w:p>
    <w:p w14:paraId="0B7C897A" w14:textId="77777777" w:rsidR="00B55EC5" w:rsidRPr="00C53B42" w:rsidRDefault="00B55EC5" w:rsidP="00B55EC5">
      <w:pPr>
        <w:pStyle w:val="Level1"/>
        <w:numPr>
          <w:ilvl w:val="0"/>
          <w:numId w:val="0"/>
        </w:numPr>
        <w:spacing w:before="0"/>
        <w:ind w:left="720"/>
        <w:rPr>
          <w:rFonts w:ascii="Arial" w:hAnsi="Arial" w:cs="Arial"/>
          <w:sz w:val="22"/>
        </w:rPr>
      </w:pPr>
      <w:r w:rsidRPr="00C53B42">
        <w:rPr>
          <w:rFonts w:ascii="Arial" w:hAnsi="Arial" w:cs="Arial"/>
          <w:sz w:val="22"/>
        </w:rPr>
        <w:t>Vendor must specify their taxpayer identification number.</w:t>
      </w:r>
    </w:p>
    <w:p w14:paraId="43B2C19F"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14:paraId="3BBAC25C" w14:textId="77777777"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14:paraId="06BF15D9" w14:textId="77777777" w:rsidR="00682436" w:rsidRPr="003560BD" w:rsidRDefault="00682436" w:rsidP="00D511B1">
      <w:pPr>
        <w:widowControl/>
        <w:tabs>
          <w:tab w:val="left" w:pos="720"/>
        </w:tabs>
        <w:ind w:left="720" w:hanging="720"/>
        <w:jc w:val="both"/>
        <w:rPr>
          <w:rFonts w:ascii="Arial" w:hAnsi="Arial" w:cs="Arial"/>
          <w:sz w:val="22"/>
          <w:szCs w:val="22"/>
        </w:rPr>
      </w:pPr>
    </w:p>
    <w:p w14:paraId="6BB5D1D0" w14:textId="77777777"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393F0A4E" w14:textId="77777777" w:rsidR="00682436" w:rsidRPr="003560BD" w:rsidRDefault="00682436" w:rsidP="00D511B1">
      <w:pPr>
        <w:widowControl/>
        <w:tabs>
          <w:tab w:val="left" w:pos="720"/>
        </w:tabs>
        <w:ind w:left="720" w:hanging="720"/>
        <w:jc w:val="both"/>
        <w:rPr>
          <w:rFonts w:ascii="Arial" w:hAnsi="Arial" w:cs="Arial"/>
          <w:sz w:val="22"/>
          <w:szCs w:val="22"/>
        </w:rPr>
      </w:pPr>
    </w:p>
    <w:p w14:paraId="427B21FC" w14:textId="77777777"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14:paraId="08D39D9D" w14:textId="77777777"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39523414" w14:textId="77777777"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21A4A4E8"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44571041"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5B175B63"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2A19D3A3"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3BD8D28E" w14:textId="77777777" w:rsidR="006E2C06" w:rsidRPr="003560BD" w:rsidRDefault="006E2C06" w:rsidP="00883216">
      <w:pPr>
        <w:pStyle w:val="Level1"/>
        <w:numPr>
          <w:ilvl w:val="0"/>
          <w:numId w:val="0"/>
        </w:numPr>
        <w:spacing w:before="0"/>
        <w:ind w:left="720"/>
        <w:jc w:val="both"/>
        <w:sectPr w:rsidR="006E2C06" w:rsidRPr="003560BD">
          <w:headerReference w:type="default" r:id="rId35"/>
          <w:pgSz w:w="12240" w:h="15840" w:code="1"/>
          <w:pgMar w:top="1440" w:right="1440" w:bottom="1440" w:left="1440" w:header="720" w:footer="720" w:gutter="0"/>
          <w:cols w:space="720"/>
          <w:noEndnote/>
          <w:docGrid w:linePitch="254"/>
        </w:sectPr>
      </w:pPr>
    </w:p>
    <w:p w14:paraId="08127039" w14:textId="77777777" w:rsidR="00E90560" w:rsidRPr="003560BD" w:rsidRDefault="00E90560" w:rsidP="007E0B1A">
      <w:pPr>
        <w:pStyle w:val="Heading1"/>
        <w:rPr>
          <w:rFonts w:ascii="Arial" w:hAnsi="Arial" w:cs="Arial"/>
          <w:sz w:val="22"/>
          <w:szCs w:val="22"/>
        </w:rPr>
      </w:pPr>
      <w:bookmarkStart w:id="129" w:name="_Toc483995372"/>
      <w:r w:rsidRPr="003560BD">
        <w:rPr>
          <w:rFonts w:ascii="Arial" w:hAnsi="Arial" w:cs="Arial"/>
          <w:sz w:val="22"/>
          <w:szCs w:val="22"/>
        </w:rPr>
        <w:lastRenderedPageBreak/>
        <w:t>SECTION VII</w:t>
      </w:r>
      <w:bookmarkEnd w:id="129"/>
    </w:p>
    <w:p w14:paraId="4667FDFE" w14:textId="77777777" w:rsidR="00E90560" w:rsidRPr="003560BD" w:rsidRDefault="00E90560" w:rsidP="007E0B1A">
      <w:pPr>
        <w:pStyle w:val="Heading2"/>
        <w:rPr>
          <w:rFonts w:ascii="Arial" w:hAnsi="Arial" w:cs="Arial"/>
          <w:sz w:val="22"/>
          <w:szCs w:val="22"/>
        </w:rPr>
      </w:pPr>
      <w:bookmarkStart w:id="130" w:name="_Toc483995373"/>
      <w:r w:rsidRPr="003560BD">
        <w:rPr>
          <w:rFonts w:ascii="Arial" w:hAnsi="Arial" w:cs="Arial"/>
          <w:sz w:val="22"/>
          <w:szCs w:val="22"/>
        </w:rPr>
        <w:t>TECHNICAL SPECIFICATIONS</w:t>
      </w:r>
      <w:bookmarkEnd w:id="130"/>
    </w:p>
    <w:p w14:paraId="1E87D776" w14:textId="77777777" w:rsidR="00BF6B07" w:rsidRPr="003560BD" w:rsidRDefault="00BF6B07" w:rsidP="00E90560">
      <w:pPr>
        <w:pStyle w:val="Heading1"/>
        <w:rPr>
          <w:rFonts w:ascii="Arial" w:hAnsi="Arial" w:cs="Arial"/>
          <w:sz w:val="22"/>
          <w:szCs w:val="22"/>
        </w:rPr>
      </w:pPr>
    </w:p>
    <w:p w14:paraId="5C6189B4" w14:textId="77777777" w:rsidR="00BF6B07" w:rsidRPr="003560BD" w:rsidRDefault="00BF6B07" w:rsidP="0061377C">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24ECB54E" w14:textId="77777777" w:rsidR="00BF6B07" w:rsidRPr="003560BD" w:rsidRDefault="00BF6B07" w:rsidP="00635AD0">
      <w:pPr>
        <w:pStyle w:val="Level2"/>
      </w:pPr>
      <w:r w:rsidRPr="003560BD">
        <w:t xml:space="preserve">Beginning with </w:t>
      </w:r>
      <w:r w:rsidRPr="00883216">
        <w:t xml:space="preserve">Item </w:t>
      </w:r>
      <w:r w:rsidR="00062BF8">
        <w:t>2</w:t>
      </w:r>
      <w:r w:rsidR="00107933" w:rsidRPr="00883216">
        <w:t>.1</w:t>
      </w:r>
      <w:r w:rsidR="00107933" w:rsidRPr="003560BD">
        <w:t xml:space="preserve"> </w:t>
      </w:r>
      <w:r w:rsidRPr="003560BD">
        <w:t>of this section, label and respond to each outline point in this section as it is labeled in the RFP.</w:t>
      </w:r>
    </w:p>
    <w:p w14:paraId="27F42EEE" w14:textId="77777777" w:rsidR="00BF6B07" w:rsidRPr="003560BD" w:rsidRDefault="00BF6B07" w:rsidP="00635AD0">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5DB91FC6" w14:textId="77777777" w:rsidR="00BF6B07" w:rsidRPr="003560BD" w:rsidRDefault="00BF6B07" w:rsidP="00635AD0">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2204DB6E" w14:textId="77777777" w:rsidR="00BF6B07" w:rsidRPr="003560BD" w:rsidRDefault="00BF6B07" w:rsidP="00635AD0">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2F62BF0A" w14:textId="77777777" w:rsidR="00BF6B07" w:rsidRPr="003560BD" w:rsidRDefault="00BF6B07" w:rsidP="00635AD0">
      <w:pPr>
        <w:pStyle w:val="Level2"/>
      </w:pPr>
      <w:r w:rsidRPr="003560BD">
        <w:t>If the Vendor cannot respond with “ACKNOWLEDGED,” “WILL COMPLY,” or “AGREED,” then the Vendor must respond with “EXCEPTION.” (See Section V, for additional instructions regarding Vendor exceptions.)</w:t>
      </w:r>
    </w:p>
    <w:p w14:paraId="7A479F52" w14:textId="77777777" w:rsidR="00BF6B07" w:rsidRPr="003560BD" w:rsidRDefault="00BF6B07" w:rsidP="00635AD0">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28B811F0" w14:textId="77777777" w:rsidR="00BF6B07" w:rsidRPr="003560BD" w:rsidRDefault="00BF6B07" w:rsidP="00635AD0">
      <w:pPr>
        <w:pStyle w:val="Level2"/>
      </w:pPr>
      <w:r w:rsidRPr="003560BD">
        <w:t xml:space="preserve">In addition to the above, Vendor must provide explicit details as to the manner and degree to which the proposal meets or exceeds each specification. </w:t>
      </w:r>
    </w:p>
    <w:p w14:paraId="3894F57C" w14:textId="77777777" w:rsidR="00AD5E69" w:rsidRPr="00460508" w:rsidRDefault="00BF6B07" w:rsidP="00460508">
      <w:pPr>
        <w:pStyle w:val="Level1"/>
        <w:spacing w:after="240"/>
        <w:jc w:val="both"/>
        <w:rPr>
          <w:rFonts w:ascii="Arial" w:hAnsi="Arial" w:cs="Arial"/>
          <w:b/>
          <w:sz w:val="22"/>
          <w:szCs w:val="22"/>
        </w:rPr>
      </w:pPr>
      <w:r w:rsidRPr="003560BD">
        <w:rPr>
          <w:rFonts w:ascii="Arial" w:hAnsi="Arial" w:cs="Arial"/>
          <w:b/>
          <w:sz w:val="22"/>
          <w:szCs w:val="22"/>
        </w:rPr>
        <w:t>General Overview and Background</w:t>
      </w:r>
    </w:p>
    <w:p w14:paraId="459A72F5" w14:textId="77777777" w:rsidR="00E553DA" w:rsidRDefault="00F91FD7" w:rsidP="00883216">
      <w:pPr>
        <w:spacing w:after="240"/>
        <w:ind w:left="720"/>
        <w:jc w:val="both"/>
        <w:rPr>
          <w:rFonts w:ascii="Arial" w:hAnsi="Arial" w:cs="Arial"/>
          <w:sz w:val="22"/>
          <w:szCs w:val="22"/>
        </w:rPr>
      </w:pPr>
      <w:r w:rsidRPr="00AD5E69">
        <w:rPr>
          <w:rFonts w:ascii="Arial" w:hAnsi="Arial" w:cs="Arial"/>
          <w:sz w:val="22"/>
          <w:szCs w:val="22"/>
        </w:rPr>
        <w:t xml:space="preserve">The Mississippi Department of Wildlife, Fisheries, and Parks (MDWFP) is seeking the services of an experienced Vendor to implement </w:t>
      </w:r>
      <w:r w:rsidR="00657437" w:rsidRPr="00AD5E69">
        <w:rPr>
          <w:rFonts w:ascii="Arial" w:hAnsi="Arial" w:cs="Arial"/>
          <w:sz w:val="22"/>
          <w:szCs w:val="22"/>
        </w:rPr>
        <w:t xml:space="preserve">a Golf </w:t>
      </w:r>
      <w:r w:rsidR="000B17FF" w:rsidRPr="00AD5E69">
        <w:rPr>
          <w:rFonts w:ascii="Arial" w:hAnsi="Arial" w:cs="Arial"/>
          <w:sz w:val="22"/>
          <w:szCs w:val="22"/>
        </w:rPr>
        <w:t>Management</w:t>
      </w:r>
      <w:r w:rsidR="00657437" w:rsidRPr="00AD5E69">
        <w:rPr>
          <w:rFonts w:ascii="Arial" w:hAnsi="Arial" w:cs="Arial"/>
          <w:sz w:val="22"/>
          <w:szCs w:val="22"/>
        </w:rPr>
        <w:t xml:space="preserve"> S</w:t>
      </w:r>
      <w:r w:rsidRPr="00AD5E69">
        <w:rPr>
          <w:rFonts w:ascii="Arial" w:hAnsi="Arial" w:cs="Arial"/>
          <w:sz w:val="22"/>
          <w:szCs w:val="22"/>
        </w:rPr>
        <w:t>ystem</w:t>
      </w:r>
      <w:r w:rsidR="00C6052E">
        <w:rPr>
          <w:rFonts w:ascii="Arial" w:hAnsi="Arial" w:cs="Arial"/>
          <w:sz w:val="22"/>
          <w:szCs w:val="22"/>
        </w:rPr>
        <w:t xml:space="preserve"> for two of its golf courses:  LeFleur’s Bluff</w:t>
      </w:r>
      <w:r w:rsidR="006725F3">
        <w:rPr>
          <w:rFonts w:ascii="Arial" w:hAnsi="Arial" w:cs="Arial"/>
          <w:sz w:val="22"/>
          <w:szCs w:val="22"/>
        </w:rPr>
        <w:t xml:space="preserve"> and Quail Hollow. LeFleur’s Bluff Golf Course is a 9-hole course located in LeFleur’s Bluff State Park in Jacks</w:t>
      </w:r>
      <w:r w:rsidR="00C6052E">
        <w:rPr>
          <w:rFonts w:ascii="Arial" w:hAnsi="Arial" w:cs="Arial"/>
          <w:sz w:val="22"/>
          <w:szCs w:val="22"/>
        </w:rPr>
        <w:t>on, Mississippi</w:t>
      </w:r>
      <w:r w:rsidR="006725F3">
        <w:rPr>
          <w:rFonts w:ascii="Arial" w:hAnsi="Arial" w:cs="Arial"/>
          <w:sz w:val="22"/>
          <w:szCs w:val="22"/>
        </w:rPr>
        <w:t xml:space="preserve">. It is open 6 days a week and includes a 10-acre practice area and putting green. Inside of the LeFleur’s Bluff club house is a golf shop and snack bar. </w:t>
      </w:r>
      <w:r w:rsidR="00C6052E">
        <w:rPr>
          <w:rFonts w:ascii="Arial" w:hAnsi="Arial" w:cs="Arial"/>
          <w:sz w:val="22"/>
          <w:szCs w:val="22"/>
        </w:rPr>
        <w:t>Quail Hollow</w:t>
      </w:r>
      <w:r w:rsidR="006725F3">
        <w:rPr>
          <w:rFonts w:ascii="Arial" w:hAnsi="Arial" w:cs="Arial"/>
          <w:sz w:val="22"/>
          <w:szCs w:val="22"/>
        </w:rPr>
        <w:t xml:space="preserve"> is an 18-hole Championship Course </w:t>
      </w:r>
      <w:r w:rsidR="00C6052E">
        <w:rPr>
          <w:rFonts w:ascii="Arial" w:hAnsi="Arial" w:cs="Arial"/>
          <w:sz w:val="22"/>
          <w:szCs w:val="22"/>
        </w:rPr>
        <w:t xml:space="preserve">located in </w:t>
      </w:r>
      <w:r w:rsidR="006725F3">
        <w:rPr>
          <w:rFonts w:ascii="Arial" w:hAnsi="Arial" w:cs="Arial"/>
          <w:sz w:val="22"/>
          <w:szCs w:val="22"/>
        </w:rPr>
        <w:t xml:space="preserve">Percy Quin State Park in </w:t>
      </w:r>
      <w:r w:rsidR="00C6052E">
        <w:rPr>
          <w:rFonts w:ascii="Arial" w:hAnsi="Arial" w:cs="Arial"/>
          <w:sz w:val="22"/>
          <w:szCs w:val="22"/>
        </w:rPr>
        <w:t>McComb, Mississippi.</w:t>
      </w:r>
      <w:r w:rsidR="006725F3">
        <w:rPr>
          <w:rFonts w:ascii="Arial" w:hAnsi="Arial" w:cs="Arial"/>
          <w:sz w:val="22"/>
          <w:szCs w:val="22"/>
        </w:rPr>
        <w:t xml:space="preserve"> It features 6,700 yards of golf with rolling terrain and a variety of signature holes for the ultimate challenge at every skill level.</w:t>
      </w:r>
      <w:r w:rsidRPr="00AD5E69">
        <w:rPr>
          <w:rFonts w:ascii="Arial" w:hAnsi="Arial" w:cs="Arial"/>
          <w:sz w:val="22"/>
          <w:szCs w:val="22"/>
        </w:rPr>
        <w:t xml:space="preserve"> </w:t>
      </w:r>
      <w:r w:rsidR="006725F3">
        <w:rPr>
          <w:rFonts w:ascii="Arial" w:hAnsi="Arial" w:cs="Arial"/>
          <w:sz w:val="22"/>
          <w:szCs w:val="22"/>
        </w:rPr>
        <w:t xml:space="preserve">Quail Hollow is also open 6 days a week and </w:t>
      </w:r>
      <w:r w:rsidR="00F21853">
        <w:rPr>
          <w:rFonts w:ascii="Arial" w:hAnsi="Arial" w:cs="Arial"/>
          <w:sz w:val="22"/>
          <w:szCs w:val="22"/>
        </w:rPr>
        <w:t>also</w:t>
      </w:r>
      <w:r w:rsidR="006725F3">
        <w:rPr>
          <w:rFonts w:ascii="Arial" w:hAnsi="Arial" w:cs="Arial"/>
          <w:sz w:val="22"/>
          <w:szCs w:val="22"/>
        </w:rPr>
        <w:t xml:space="preserve"> has a putting green, pro shop, and snack bar.</w:t>
      </w:r>
      <w:r w:rsidR="00E553DA">
        <w:rPr>
          <w:rFonts w:ascii="Arial" w:hAnsi="Arial" w:cs="Arial"/>
          <w:sz w:val="22"/>
          <w:szCs w:val="22"/>
        </w:rPr>
        <w:t xml:space="preserve"> The chart below gives actual revenue for these two courses:</w:t>
      </w:r>
    </w:p>
    <w:tbl>
      <w:tblPr>
        <w:tblW w:w="86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2"/>
        <w:gridCol w:w="1528"/>
        <w:gridCol w:w="1440"/>
        <w:gridCol w:w="272"/>
        <w:gridCol w:w="1568"/>
        <w:gridCol w:w="1440"/>
      </w:tblGrid>
      <w:tr w:rsidR="00BD0C8C" w:rsidRPr="00E553DA" w14:paraId="2E122BBF" w14:textId="77777777" w:rsidTr="00EE78DC">
        <w:trPr>
          <w:trHeight w:val="288"/>
        </w:trPr>
        <w:tc>
          <w:tcPr>
            <w:tcW w:w="2160" w:type="dxa"/>
            <w:shd w:val="clear" w:color="auto" w:fill="DEEAF6" w:themeFill="accent1" w:themeFillTint="33"/>
            <w:noWrap/>
            <w:vAlign w:val="bottom"/>
            <w:hideMark/>
          </w:tcPr>
          <w:p w14:paraId="513903D5" w14:textId="77777777" w:rsidR="00E553DA" w:rsidRPr="00EE78DC" w:rsidRDefault="00E553DA" w:rsidP="00E553DA">
            <w:pPr>
              <w:widowControl/>
              <w:autoSpaceDE/>
              <w:autoSpaceDN/>
              <w:adjustRightInd/>
              <w:rPr>
                <w:rFonts w:ascii="Arial" w:hAnsi="Arial" w:cs="Arial"/>
                <w:b/>
                <w:bCs/>
                <w:color w:val="000000"/>
                <w:sz w:val="20"/>
                <w:szCs w:val="28"/>
              </w:rPr>
            </w:pPr>
            <w:r w:rsidRPr="00EE78DC">
              <w:rPr>
                <w:rFonts w:ascii="Arial" w:hAnsi="Arial" w:cs="Arial"/>
                <w:b/>
                <w:bCs/>
                <w:color w:val="000000"/>
                <w:sz w:val="20"/>
                <w:szCs w:val="28"/>
              </w:rPr>
              <w:lastRenderedPageBreak/>
              <w:t>Revenue</w:t>
            </w:r>
          </w:p>
        </w:tc>
        <w:tc>
          <w:tcPr>
            <w:tcW w:w="272" w:type="dxa"/>
            <w:shd w:val="clear" w:color="auto" w:fill="DEEAF6" w:themeFill="accent1" w:themeFillTint="33"/>
            <w:noWrap/>
            <w:vAlign w:val="bottom"/>
            <w:hideMark/>
          </w:tcPr>
          <w:p w14:paraId="1354F2A0" w14:textId="77777777" w:rsidR="00E553DA" w:rsidRPr="00EE78DC" w:rsidRDefault="00E553DA" w:rsidP="00E553DA">
            <w:pPr>
              <w:widowControl/>
              <w:autoSpaceDE/>
              <w:autoSpaceDN/>
              <w:adjustRightInd/>
              <w:rPr>
                <w:rFonts w:ascii="Arial" w:hAnsi="Arial" w:cs="Arial"/>
                <w:b/>
                <w:bCs/>
                <w:color w:val="000000"/>
                <w:sz w:val="20"/>
                <w:szCs w:val="28"/>
              </w:rPr>
            </w:pPr>
            <w:r w:rsidRPr="00EE78DC">
              <w:rPr>
                <w:rFonts w:ascii="Arial" w:hAnsi="Arial" w:cs="Arial"/>
                <w:b/>
                <w:bCs/>
                <w:color w:val="000000"/>
                <w:sz w:val="20"/>
                <w:szCs w:val="28"/>
              </w:rPr>
              <w:t> </w:t>
            </w:r>
          </w:p>
        </w:tc>
        <w:tc>
          <w:tcPr>
            <w:tcW w:w="2968" w:type="dxa"/>
            <w:gridSpan w:val="2"/>
            <w:shd w:val="clear" w:color="auto" w:fill="DEEAF6" w:themeFill="accent1" w:themeFillTint="33"/>
            <w:noWrap/>
            <w:vAlign w:val="bottom"/>
            <w:hideMark/>
          </w:tcPr>
          <w:p w14:paraId="3CEC9B59" w14:textId="77777777" w:rsidR="00E553DA" w:rsidRPr="00EE78DC" w:rsidRDefault="00E553DA" w:rsidP="00E553DA">
            <w:pPr>
              <w:widowControl/>
              <w:autoSpaceDE/>
              <w:autoSpaceDN/>
              <w:adjustRightInd/>
              <w:jc w:val="center"/>
              <w:rPr>
                <w:rFonts w:ascii="Arial" w:hAnsi="Arial" w:cs="Arial"/>
                <w:b/>
                <w:bCs/>
                <w:color w:val="000000"/>
                <w:sz w:val="20"/>
                <w:szCs w:val="28"/>
              </w:rPr>
            </w:pPr>
            <w:r w:rsidRPr="00EE78DC">
              <w:rPr>
                <w:rFonts w:ascii="Arial" w:hAnsi="Arial" w:cs="Arial"/>
                <w:b/>
                <w:bCs/>
                <w:color w:val="000000"/>
                <w:sz w:val="20"/>
                <w:szCs w:val="28"/>
              </w:rPr>
              <w:t>FY16</w:t>
            </w:r>
          </w:p>
        </w:tc>
        <w:tc>
          <w:tcPr>
            <w:tcW w:w="272" w:type="dxa"/>
            <w:shd w:val="clear" w:color="auto" w:fill="DEEAF6" w:themeFill="accent1" w:themeFillTint="33"/>
            <w:noWrap/>
            <w:vAlign w:val="bottom"/>
            <w:hideMark/>
          </w:tcPr>
          <w:p w14:paraId="5C107A26" w14:textId="77777777" w:rsidR="00E553DA" w:rsidRPr="00EE78DC" w:rsidRDefault="00E553DA" w:rsidP="00E553DA">
            <w:pPr>
              <w:widowControl/>
              <w:autoSpaceDE/>
              <w:autoSpaceDN/>
              <w:adjustRightInd/>
              <w:rPr>
                <w:rFonts w:ascii="Arial" w:hAnsi="Arial" w:cs="Arial"/>
                <w:b/>
                <w:bCs/>
                <w:color w:val="000000"/>
                <w:sz w:val="20"/>
                <w:szCs w:val="28"/>
              </w:rPr>
            </w:pPr>
            <w:r w:rsidRPr="00EE78DC">
              <w:rPr>
                <w:rFonts w:ascii="Arial" w:hAnsi="Arial" w:cs="Arial"/>
                <w:b/>
                <w:bCs/>
                <w:color w:val="000000"/>
                <w:sz w:val="20"/>
                <w:szCs w:val="28"/>
              </w:rPr>
              <w:t> </w:t>
            </w:r>
          </w:p>
        </w:tc>
        <w:tc>
          <w:tcPr>
            <w:tcW w:w="3008" w:type="dxa"/>
            <w:gridSpan w:val="2"/>
            <w:shd w:val="clear" w:color="auto" w:fill="DEEAF6" w:themeFill="accent1" w:themeFillTint="33"/>
            <w:noWrap/>
            <w:vAlign w:val="bottom"/>
            <w:hideMark/>
          </w:tcPr>
          <w:p w14:paraId="7F2AF551" w14:textId="77777777" w:rsidR="00E553DA" w:rsidRPr="00EE78DC" w:rsidRDefault="00E553DA" w:rsidP="00E553DA">
            <w:pPr>
              <w:widowControl/>
              <w:autoSpaceDE/>
              <w:autoSpaceDN/>
              <w:adjustRightInd/>
              <w:jc w:val="center"/>
              <w:rPr>
                <w:rFonts w:ascii="Arial" w:hAnsi="Arial" w:cs="Arial"/>
                <w:b/>
                <w:bCs/>
                <w:color w:val="000000"/>
                <w:sz w:val="20"/>
                <w:szCs w:val="28"/>
              </w:rPr>
            </w:pPr>
            <w:r w:rsidRPr="00EE78DC">
              <w:rPr>
                <w:rFonts w:ascii="Arial" w:hAnsi="Arial" w:cs="Arial"/>
                <w:b/>
                <w:bCs/>
                <w:color w:val="000000"/>
                <w:sz w:val="20"/>
                <w:szCs w:val="28"/>
              </w:rPr>
              <w:t>FY15</w:t>
            </w:r>
          </w:p>
        </w:tc>
      </w:tr>
      <w:tr w:rsidR="00BD0C8C" w:rsidRPr="00E553DA" w14:paraId="155F62C2" w14:textId="77777777" w:rsidTr="00EE78DC">
        <w:trPr>
          <w:trHeight w:val="288"/>
        </w:trPr>
        <w:tc>
          <w:tcPr>
            <w:tcW w:w="2160" w:type="dxa"/>
            <w:shd w:val="clear" w:color="auto" w:fill="auto"/>
            <w:noWrap/>
            <w:vAlign w:val="bottom"/>
            <w:hideMark/>
          </w:tcPr>
          <w:p w14:paraId="0A251A07" w14:textId="77777777" w:rsidR="00BD0C8C" w:rsidRPr="00EE78DC" w:rsidRDefault="00BD0C8C" w:rsidP="00BD0C8C">
            <w:pPr>
              <w:widowControl/>
              <w:autoSpaceDE/>
              <w:autoSpaceDN/>
              <w:adjustRightInd/>
              <w:jc w:val="center"/>
              <w:rPr>
                <w:rFonts w:ascii="Arial" w:hAnsi="Arial" w:cs="Arial"/>
                <w:b/>
                <w:bCs/>
                <w:color w:val="000000"/>
                <w:sz w:val="20"/>
                <w:szCs w:val="28"/>
              </w:rPr>
            </w:pPr>
          </w:p>
        </w:tc>
        <w:tc>
          <w:tcPr>
            <w:tcW w:w="272" w:type="dxa"/>
            <w:shd w:val="clear" w:color="auto" w:fill="auto"/>
            <w:noWrap/>
            <w:vAlign w:val="bottom"/>
            <w:hideMark/>
          </w:tcPr>
          <w:p w14:paraId="4C6437A3" w14:textId="77777777" w:rsidR="00BD0C8C" w:rsidRPr="00EE78DC" w:rsidRDefault="00BD0C8C" w:rsidP="00BD0C8C">
            <w:pPr>
              <w:widowControl/>
              <w:autoSpaceDE/>
              <w:autoSpaceDN/>
              <w:adjustRightInd/>
              <w:rPr>
                <w:rFonts w:ascii="Arial" w:hAnsi="Arial" w:cs="Arial"/>
                <w:sz w:val="20"/>
                <w:szCs w:val="20"/>
              </w:rPr>
            </w:pPr>
          </w:p>
        </w:tc>
        <w:tc>
          <w:tcPr>
            <w:tcW w:w="1528" w:type="dxa"/>
            <w:shd w:val="clear" w:color="auto" w:fill="D9D9D9" w:themeFill="background1" w:themeFillShade="D9"/>
            <w:noWrap/>
            <w:vAlign w:val="bottom"/>
            <w:hideMark/>
          </w:tcPr>
          <w:p w14:paraId="3BB751CA" w14:textId="77777777" w:rsidR="00BD0C8C" w:rsidRPr="00EE78DC" w:rsidRDefault="00BD0C8C" w:rsidP="00EE78DC">
            <w:pPr>
              <w:widowControl/>
              <w:autoSpaceDE/>
              <w:autoSpaceDN/>
              <w:adjustRightInd/>
              <w:jc w:val="center"/>
              <w:rPr>
                <w:rFonts w:ascii="Arial" w:hAnsi="Arial" w:cs="Arial"/>
                <w:b/>
                <w:sz w:val="20"/>
                <w:szCs w:val="20"/>
              </w:rPr>
            </w:pPr>
            <w:r w:rsidRPr="00EE78DC">
              <w:rPr>
                <w:rFonts w:ascii="Arial" w:hAnsi="Arial" w:cs="Arial"/>
                <w:b/>
                <w:sz w:val="20"/>
                <w:szCs w:val="20"/>
              </w:rPr>
              <w:t>Quail Hollow</w:t>
            </w:r>
          </w:p>
        </w:tc>
        <w:tc>
          <w:tcPr>
            <w:tcW w:w="1440" w:type="dxa"/>
            <w:shd w:val="clear" w:color="auto" w:fill="D9D9D9" w:themeFill="background1" w:themeFillShade="D9"/>
            <w:vAlign w:val="bottom"/>
          </w:tcPr>
          <w:p w14:paraId="02C9899A" w14:textId="77777777" w:rsidR="00BD0C8C" w:rsidRPr="00EE78DC" w:rsidRDefault="00BD0C8C" w:rsidP="00EE78DC">
            <w:pPr>
              <w:widowControl/>
              <w:autoSpaceDE/>
              <w:autoSpaceDN/>
              <w:adjustRightInd/>
              <w:jc w:val="center"/>
              <w:rPr>
                <w:rFonts w:ascii="Arial" w:hAnsi="Arial" w:cs="Arial"/>
                <w:b/>
                <w:sz w:val="20"/>
                <w:szCs w:val="20"/>
              </w:rPr>
            </w:pPr>
            <w:r w:rsidRPr="00EE78DC">
              <w:rPr>
                <w:rFonts w:ascii="Arial" w:hAnsi="Arial" w:cs="Arial"/>
                <w:b/>
                <w:sz w:val="20"/>
                <w:szCs w:val="20"/>
              </w:rPr>
              <w:t>LeFluers</w:t>
            </w:r>
          </w:p>
        </w:tc>
        <w:tc>
          <w:tcPr>
            <w:tcW w:w="272" w:type="dxa"/>
            <w:shd w:val="clear" w:color="auto" w:fill="auto"/>
            <w:noWrap/>
            <w:vAlign w:val="bottom"/>
            <w:hideMark/>
          </w:tcPr>
          <w:p w14:paraId="08B09CE9" w14:textId="77777777" w:rsidR="00BD0C8C" w:rsidRPr="00EE78DC" w:rsidRDefault="00BD0C8C" w:rsidP="00BD0C8C">
            <w:pPr>
              <w:widowControl/>
              <w:autoSpaceDE/>
              <w:autoSpaceDN/>
              <w:adjustRightInd/>
              <w:rPr>
                <w:rFonts w:ascii="Arial" w:hAnsi="Arial" w:cs="Arial"/>
                <w:sz w:val="20"/>
                <w:szCs w:val="20"/>
              </w:rPr>
            </w:pPr>
          </w:p>
        </w:tc>
        <w:tc>
          <w:tcPr>
            <w:tcW w:w="1568" w:type="dxa"/>
            <w:shd w:val="clear" w:color="auto" w:fill="D9D9D9" w:themeFill="background1" w:themeFillShade="D9"/>
            <w:noWrap/>
            <w:vAlign w:val="bottom"/>
          </w:tcPr>
          <w:p w14:paraId="7A804074" w14:textId="77777777" w:rsidR="00BD0C8C" w:rsidRPr="00EE78DC" w:rsidRDefault="00BD0C8C" w:rsidP="00EE78DC">
            <w:pPr>
              <w:widowControl/>
              <w:autoSpaceDE/>
              <w:autoSpaceDN/>
              <w:adjustRightInd/>
              <w:jc w:val="center"/>
              <w:rPr>
                <w:rFonts w:ascii="Arial" w:hAnsi="Arial" w:cs="Arial"/>
                <w:color w:val="000000"/>
                <w:sz w:val="20"/>
                <w:szCs w:val="26"/>
              </w:rPr>
            </w:pPr>
            <w:r w:rsidRPr="001C7441">
              <w:rPr>
                <w:rFonts w:ascii="Arial" w:hAnsi="Arial" w:cs="Arial"/>
                <w:b/>
                <w:sz w:val="20"/>
                <w:szCs w:val="20"/>
              </w:rPr>
              <w:t>Quail Hollow</w:t>
            </w:r>
          </w:p>
        </w:tc>
        <w:tc>
          <w:tcPr>
            <w:tcW w:w="1440" w:type="dxa"/>
            <w:shd w:val="clear" w:color="auto" w:fill="D9D9D9" w:themeFill="background1" w:themeFillShade="D9"/>
            <w:vAlign w:val="bottom"/>
          </w:tcPr>
          <w:p w14:paraId="2535A09D" w14:textId="77777777" w:rsidR="00BD0C8C" w:rsidRPr="00EE78DC" w:rsidRDefault="00BD0C8C" w:rsidP="00EE78DC">
            <w:pPr>
              <w:jc w:val="center"/>
              <w:rPr>
                <w:rFonts w:ascii="Arial" w:hAnsi="Arial" w:cs="Arial"/>
                <w:sz w:val="20"/>
                <w:szCs w:val="20"/>
              </w:rPr>
            </w:pPr>
            <w:r w:rsidRPr="001C7441">
              <w:rPr>
                <w:rFonts w:ascii="Arial" w:hAnsi="Arial" w:cs="Arial"/>
                <w:b/>
                <w:sz w:val="20"/>
                <w:szCs w:val="20"/>
              </w:rPr>
              <w:t>LeFluers</w:t>
            </w:r>
          </w:p>
        </w:tc>
      </w:tr>
      <w:tr w:rsidR="00BD0C8C" w:rsidRPr="00E553DA" w14:paraId="2D18A550" w14:textId="77777777" w:rsidTr="00EE78DC">
        <w:trPr>
          <w:trHeight w:val="288"/>
        </w:trPr>
        <w:tc>
          <w:tcPr>
            <w:tcW w:w="2160" w:type="dxa"/>
            <w:shd w:val="clear" w:color="auto" w:fill="auto"/>
            <w:noWrap/>
            <w:vAlign w:val="bottom"/>
            <w:hideMark/>
          </w:tcPr>
          <w:p w14:paraId="075C570A"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Annual Passes </w:t>
            </w:r>
          </w:p>
        </w:tc>
        <w:tc>
          <w:tcPr>
            <w:tcW w:w="272" w:type="dxa"/>
            <w:shd w:val="clear" w:color="auto" w:fill="auto"/>
            <w:noWrap/>
            <w:vAlign w:val="bottom"/>
            <w:hideMark/>
          </w:tcPr>
          <w:p w14:paraId="7C83D4B3"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tcPr>
          <w:p w14:paraId="6883CE76" w14:textId="77777777" w:rsidR="00BD0C8C" w:rsidRPr="00EE78DC" w:rsidRDefault="00BD0C8C" w:rsidP="00EE78DC">
            <w:pPr>
              <w:widowControl/>
              <w:autoSpaceDE/>
              <w:autoSpaceDN/>
              <w:adjustRightInd/>
              <w:jc w:val="right"/>
              <w:rPr>
                <w:rFonts w:ascii="Arial" w:hAnsi="Arial" w:cs="Arial"/>
                <w:color w:val="000000"/>
                <w:sz w:val="20"/>
                <w:szCs w:val="26"/>
              </w:rPr>
            </w:pPr>
            <w:r>
              <w:rPr>
                <w:rFonts w:ascii="Arial" w:hAnsi="Arial" w:cs="Arial"/>
                <w:color w:val="000000"/>
                <w:sz w:val="20"/>
                <w:szCs w:val="26"/>
              </w:rPr>
              <w:t>$87,860.00</w:t>
            </w:r>
          </w:p>
        </w:tc>
        <w:tc>
          <w:tcPr>
            <w:tcW w:w="1440" w:type="dxa"/>
            <w:shd w:val="clear" w:color="auto" w:fill="auto"/>
            <w:vAlign w:val="bottom"/>
          </w:tcPr>
          <w:p w14:paraId="23947363"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$15,000.00</w:t>
            </w:r>
          </w:p>
        </w:tc>
        <w:tc>
          <w:tcPr>
            <w:tcW w:w="272" w:type="dxa"/>
            <w:shd w:val="clear" w:color="auto" w:fill="auto"/>
            <w:noWrap/>
            <w:vAlign w:val="bottom"/>
            <w:hideMark/>
          </w:tcPr>
          <w:p w14:paraId="111B73BC" w14:textId="77777777" w:rsidR="00BD0C8C" w:rsidRPr="00EE78DC" w:rsidRDefault="00BD0C8C" w:rsidP="00BD0C8C">
            <w:pPr>
              <w:widowControl/>
              <w:autoSpaceDE/>
              <w:autoSpaceDN/>
              <w:adjustRightInd/>
              <w:jc w:val="right"/>
              <w:rPr>
                <w:rFonts w:ascii="Arial" w:hAnsi="Arial" w:cs="Arial"/>
                <w:color w:val="000000"/>
                <w:sz w:val="20"/>
                <w:szCs w:val="26"/>
              </w:rPr>
            </w:pPr>
          </w:p>
        </w:tc>
        <w:tc>
          <w:tcPr>
            <w:tcW w:w="1568" w:type="dxa"/>
            <w:shd w:val="clear" w:color="auto" w:fill="auto"/>
            <w:noWrap/>
            <w:vAlign w:val="bottom"/>
            <w:hideMark/>
          </w:tcPr>
          <w:p w14:paraId="6533B3CF"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$137,020.00</w:t>
            </w:r>
          </w:p>
        </w:tc>
        <w:tc>
          <w:tcPr>
            <w:tcW w:w="1440" w:type="dxa"/>
            <w:shd w:val="clear" w:color="auto" w:fill="auto"/>
            <w:vAlign w:val="bottom"/>
          </w:tcPr>
          <w:p w14:paraId="0B85F51A"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$17,585.00</w:t>
            </w:r>
          </w:p>
        </w:tc>
      </w:tr>
      <w:tr w:rsidR="00BD0C8C" w:rsidRPr="00E553DA" w14:paraId="1A97231E" w14:textId="77777777" w:rsidTr="00EE78DC">
        <w:trPr>
          <w:trHeight w:val="288"/>
        </w:trPr>
        <w:tc>
          <w:tcPr>
            <w:tcW w:w="2160" w:type="dxa"/>
            <w:shd w:val="clear" w:color="auto" w:fill="auto"/>
            <w:noWrap/>
            <w:vAlign w:val="bottom"/>
            <w:hideMark/>
          </w:tcPr>
          <w:p w14:paraId="258AB0C0"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Green Fees </w:t>
            </w:r>
          </w:p>
        </w:tc>
        <w:tc>
          <w:tcPr>
            <w:tcW w:w="272" w:type="dxa"/>
            <w:shd w:val="clear" w:color="auto" w:fill="auto"/>
            <w:noWrap/>
            <w:vAlign w:val="bottom"/>
            <w:hideMark/>
          </w:tcPr>
          <w:p w14:paraId="54AB828D"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52BC3C07"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$181,442.00</w:t>
            </w:r>
          </w:p>
        </w:tc>
        <w:tc>
          <w:tcPr>
            <w:tcW w:w="1440" w:type="dxa"/>
            <w:shd w:val="clear" w:color="auto" w:fill="auto"/>
            <w:vAlign w:val="bottom"/>
          </w:tcPr>
          <w:p w14:paraId="1A57CC76"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$113,845.00</w:t>
            </w:r>
          </w:p>
        </w:tc>
        <w:tc>
          <w:tcPr>
            <w:tcW w:w="272" w:type="dxa"/>
            <w:shd w:val="clear" w:color="auto" w:fill="auto"/>
            <w:noWrap/>
            <w:vAlign w:val="bottom"/>
            <w:hideMark/>
          </w:tcPr>
          <w:p w14:paraId="354B7E45"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2C37E7C5"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$193,351.00</w:t>
            </w:r>
          </w:p>
        </w:tc>
        <w:tc>
          <w:tcPr>
            <w:tcW w:w="1440" w:type="dxa"/>
            <w:shd w:val="clear" w:color="auto" w:fill="auto"/>
            <w:vAlign w:val="bottom"/>
          </w:tcPr>
          <w:p w14:paraId="77C34E13"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$130,391.00</w:t>
            </w:r>
          </w:p>
        </w:tc>
      </w:tr>
      <w:tr w:rsidR="00BD0C8C" w:rsidRPr="00E553DA" w14:paraId="6EFA75EF" w14:textId="77777777" w:rsidTr="00EE78DC">
        <w:trPr>
          <w:trHeight w:val="288"/>
        </w:trPr>
        <w:tc>
          <w:tcPr>
            <w:tcW w:w="2160" w:type="dxa"/>
            <w:shd w:val="clear" w:color="auto" w:fill="auto"/>
            <w:noWrap/>
            <w:vAlign w:val="bottom"/>
            <w:hideMark/>
          </w:tcPr>
          <w:p w14:paraId="332B0540"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Golf Cart Rentals </w:t>
            </w:r>
          </w:p>
        </w:tc>
        <w:tc>
          <w:tcPr>
            <w:tcW w:w="272" w:type="dxa"/>
            <w:shd w:val="clear" w:color="auto" w:fill="auto"/>
            <w:noWrap/>
            <w:vAlign w:val="bottom"/>
            <w:hideMark/>
          </w:tcPr>
          <w:p w14:paraId="14752971"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6DC38893"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$122,403.00</w:t>
            </w:r>
          </w:p>
        </w:tc>
        <w:tc>
          <w:tcPr>
            <w:tcW w:w="1440" w:type="dxa"/>
            <w:shd w:val="clear" w:color="auto" w:fill="auto"/>
            <w:vAlign w:val="bottom"/>
          </w:tcPr>
          <w:p w14:paraId="015B55E9"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$21,846.00</w:t>
            </w:r>
          </w:p>
        </w:tc>
        <w:tc>
          <w:tcPr>
            <w:tcW w:w="272" w:type="dxa"/>
            <w:shd w:val="clear" w:color="auto" w:fill="auto"/>
            <w:noWrap/>
            <w:vAlign w:val="bottom"/>
            <w:hideMark/>
          </w:tcPr>
          <w:p w14:paraId="27FB6B57"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7351BC13"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$134,585.00</w:t>
            </w:r>
          </w:p>
        </w:tc>
        <w:tc>
          <w:tcPr>
            <w:tcW w:w="1440" w:type="dxa"/>
            <w:shd w:val="clear" w:color="auto" w:fill="auto"/>
            <w:vAlign w:val="bottom"/>
          </w:tcPr>
          <w:p w14:paraId="21A91795"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$13,350.00</w:t>
            </w:r>
          </w:p>
        </w:tc>
      </w:tr>
      <w:tr w:rsidR="00BD0C8C" w:rsidRPr="00E553DA" w14:paraId="1A8477F3" w14:textId="77777777" w:rsidTr="00EE78DC">
        <w:trPr>
          <w:trHeight w:val="288"/>
        </w:trPr>
        <w:tc>
          <w:tcPr>
            <w:tcW w:w="2160" w:type="dxa"/>
            <w:shd w:val="clear" w:color="auto" w:fill="auto"/>
            <w:noWrap/>
            <w:vAlign w:val="bottom"/>
            <w:hideMark/>
          </w:tcPr>
          <w:p w14:paraId="198B449E"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Range Fees </w:t>
            </w:r>
          </w:p>
        </w:tc>
        <w:tc>
          <w:tcPr>
            <w:tcW w:w="272" w:type="dxa"/>
            <w:shd w:val="clear" w:color="auto" w:fill="auto"/>
            <w:noWrap/>
            <w:vAlign w:val="bottom"/>
            <w:hideMark/>
          </w:tcPr>
          <w:p w14:paraId="0ED41F5E"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7AC414F0"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$15,480.00</w:t>
            </w:r>
          </w:p>
        </w:tc>
        <w:tc>
          <w:tcPr>
            <w:tcW w:w="1440" w:type="dxa"/>
            <w:shd w:val="clear" w:color="auto" w:fill="auto"/>
            <w:vAlign w:val="bottom"/>
          </w:tcPr>
          <w:p w14:paraId="4F643971"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$13,183.00</w:t>
            </w:r>
          </w:p>
        </w:tc>
        <w:tc>
          <w:tcPr>
            <w:tcW w:w="272" w:type="dxa"/>
            <w:shd w:val="clear" w:color="auto" w:fill="auto"/>
            <w:noWrap/>
            <w:vAlign w:val="bottom"/>
            <w:hideMark/>
          </w:tcPr>
          <w:p w14:paraId="52FC8070"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3BD8211A"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$20,229.00</w:t>
            </w:r>
          </w:p>
        </w:tc>
        <w:tc>
          <w:tcPr>
            <w:tcW w:w="1440" w:type="dxa"/>
            <w:shd w:val="clear" w:color="auto" w:fill="auto"/>
            <w:vAlign w:val="bottom"/>
          </w:tcPr>
          <w:p w14:paraId="6D7AC92B"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$11,991.00</w:t>
            </w:r>
          </w:p>
        </w:tc>
      </w:tr>
      <w:tr w:rsidR="00BD0C8C" w:rsidRPr="00E553DA" w14:paraId="3F8757F0" w14:textId="77777777" w:rsidTr="00EE78DC">
        <w:trPr>
          <w:trHeight w:val="288"/>
        </w:trPr>
        <w:tc>
          <w:tcPr>
            <w:tcW w:w="2160" w:type="dxa"/>
            <w:shd w:val="clear" w:color="auto" w:fill="auto"/>
            <w:noWrap/>
            <w:vAlign w:val="bottom"/>
            <w:hideMark/>
          </w:tcPr>
          <w:p w14:paraId="66FA6C88"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Food &amp; Bev </w:t>
            </w:r>
          </w:p>
        </w:tc>
        <w:tc>
          <w:tcPr>
            <w:tcW w:w="272" w:type="dxa"/>
            <w:shd w:val="clear" w:color="auto" w:fill="auto"/>
            <w:noWrap/>
            <w:vAlign w:val="bottom"/>
            <w:hideMark/>
          </w:tcPr>
          <w:p w14:paraId="302293A5"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3986EC8B"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$29,636.00</w:t>
            </w:r>
          </w:p>
        </w:tc>
        <w:tc>
          <w:tcPr>
            <w:tcW w:w="1440" w:type="dxa"/>
            <w:shd w:val="clear" w:color="auto" w:fill="auto"/>
            <w:vAlign w:val="bottom"/>
          </w:tcPr>
          <w:p w14:paraId="082D74E7" w14:textId="77777777" w:rsidR="00BD0C8C" w:rsidRPr="00EE78DC" w:rsidRDefault="00BD0C8C" w:rsidP="00EE78DC">
            <w:pPr>
              <w:jc w:val="right"/>
              <w:rPr>
                <w:rFonts w:ascii="Arial" w:hAnsi="Arial" w:cs="Arial"/>
                <w:color w:val="000000"/>
                <w:sz w:val="20"/>
                <w:szCs w:val="26"/>
              </w:rPr>
            </w:pPr>
          </w:p>
        </w:tc>
        <w:tc>
          <w:tcPr>
            <w:tcW w:w="272" w:type="dxa"/>
            <w:shd w:val="clear" w:color="auto" w:fill="auto"/>
            <w:noWrap/>
            <w:vAlign w:val="bottom"/>
            <w:hideMark/>
          </w:tcPr>
          <w:p w14:paraId="52EA84AE"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09F0DAFC"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$36,491.00</w:t>
            </w:r>
          </w:p>
        </w:tc>
        <w:tc>
          <w:tcPr>
            <w:tcW w:w="1440" w:type="dxa"/>
            <w:shd w:val="clear" w:color="auto" w:fill="auto"/>
            <w:vAlign w:val="bottom"/>
          </w:tcPr>
          <w:p w14:paraId="780DABDE" w14:textId="77777777" w:rsidR="00BD0C8C" w:rsidRPr="00EE78DC" w:rsidRDefault="00BD0C8C" w:rsidP="00EE78DC">
            <w:pPr>
              <w:jc w:val="right"/>
              <w:rPr>
                <w:rFonts w:ascii="Arial" w:hAnsi="Arial" w:cs="Arial"/>
                <w:color w:val="000000"/>
                <w:sz w:val="20"/>
                <w:szCs w:val="26"/>
              </w:rPr>
            </w:pPr>
          </w:p>
        </w:tc>
      </w:tr>
      <w:tr w:rsidR="00BD0C8C" w:rsidRPr="00E553DA" w14:paraId="20289E31" w14:textId="77777777" w:rsidTr="00EE78DC">
        <w:trPr>
          <w:trHeight w:val="288"/>
        </w:trPr>
        <w:tc>
          <w:tcPr>
            <w:tcW w:w="2160" w:type="dxa"/>
            <w:shd w:val="clear" w:color="auto" w:fill="auto"/>
            <w:noWrap/>
            <w:vAlign w:val="bottom"/>
            <w:hideMark/>
          </w:tcPr>
          <w:p w14:paraId="4645686E"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Pro Shop </w:t>
            </w:r>
          </w:p>
        </w:tc>
        <w:tc>
          <w:tcPr>
            <w:tcW w:w="272" w:type="dxa"/>
            <w:shd w:val="clear" w:color="auto" w:fill="auto"/>
            <w:noWrap/>
            <w:vAlign w:val="bottom"/>
            <w:hideMark/>
          </w:tcPr>
          <w:p w14:paraId="6FC4206B"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521CAE9E"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$26,173.00</w:t>
            </w:r>
          </w:p>
        </w:tc>
        <w:tc>
          <w:tcPr>
            <w:tcW w:w="1440" w:type="dxa"/>
            <w:shd w:val="clear" w:color="auto" w:fill="auto"/>
            <w:vAlign w:val="bottom"/>
          </w:tcPr>
          <w:p w14:paraId="3163C615"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$1,789.00</w:t>
            </w:r>
          </w:p>
        </w:tc>
        <w:tc>
          <w:tcPr>
            <w:tcW w:w="272" w:type="dxa"/>
            <w:shd w:val="clear" w:color="auto" w:fill="auto"/>
            <w:noWrap/>
            <w:vAlign w:val="bottom"/>
            <w:hideMark/>
          </w:tcPr>
          <w:p w14:paraId="5BB2CF92"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75D1F9DD"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$56,434.00</w:t>
            </w:r>
          </w:p>
        </w:tc>
        <w:tc>
          <w:tcPr>
            <w:tcW w:w="1440" w:type="dxa"/>
            <w:shd w:val="clear" w:color="auto" w:fill="auto"/>
            <w:vAlign w:val="bottom"/>
          </w:tcPr>
          <w:p w14:paraId="136B8DB9"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$21,315.00</w:t>
            </w:r>
          </w:p>
        </w:tc>
      </w:tr>
      <w:tr w:rsidR="00BD0C8C" w:rsidRPr="00E553DA" w14:paraId="39F3DBB3" w14:textId="77777777" w:rsidTr="00EE78DC">
        <w:trPr>
          <w:trHeight w:val="288"/>
        </w:trPr>
        <w:tc>
          <w:tcPr>
            <w:tcW w:w="2160" w:type="dxa"/>
            <w:shd w:val="clear" w:color="auto" w:fill="auto"/>
            <w:noWrap/>
            <w:vAlign w:val="bottom"/>
            <w:hideMark/>
          </w:tcPr>
          <w:p w14:paraId="5149892E"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Gift Certificate </w:t>
            </w:r>
          </w:p>
        </w:tc>
        <w:tc>
          <w:tcPr>
            <w:tcW w:w="272" w:type="dxa"/>
            <w:shd w:val="clear" w:color="auto" w:fill="auto"/>
            <w:noWrap/>
            <w:vAlign w:val="bottom"/>
            <w:hideMark/>
          </w:tcPr>
          <w:p w14:paraId="0D207937"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31D6DBBE" w14:textId="77777777" w:rsidR="00BD0C8C" w:rsidRPr="00EE78DC" w:rsidRDefault="00BD0C8C" w:rsidP="00EE78DC">
            <w:pPr>
              <w:jc w:val="right"/>
              <w:rPr>
                <w:rFonts w:ascii="Arial" w:hAnsi="Arial" w:cs="Arial"/>
                <w:color w:val="000000"/>
                <w:sz w:val="20"/>
                <w:szCs w:val="26"/>
              </w:rPr>
            </w:pPr>
          </w:p>
        </w:tc>
        <w:tc>
          <w:tcPr>
            <w:tcW w:w="1440" w:type="dxa"/>
            <w:shd w:val="clear" w:color="auto" w:fill="auto"/>
            <w:vAlign w:val="bottom"/>
          </w:tcPr>
          <w:p w14:paraId="1AB8DAAC" w14:textId="77777777" w:rsidR="00BD0C8C" w:rsidRPr="00EE78DC" w:rsidRDefault="00BD0C8C" w:rsidP="00EE78DC">
            <w:pPr>
              <w:jc w:val="right"/>
              <w:rPr>
                <w:rFonts w:ascii="Arial" w:hAnsi="Arial" w:cs="Arial"/>
                <w:color w:val="000000"/>
                <w:sz w:val="20"/>
                <w:szCs w:val="26"/>
              </w:rPr>
            </w:pPr>
          </w:p>
        </w:tc>
        <w:tc>
          <w:tcPr>
            <w:tcW w:w="272" w:type="dxa"/>
            <w:shd w:val="clear" w:color="auto" w:fill="auto"/>
            <w:noWrap/>
            <w:vAlign w:val="bottom"/>
            <w:hideMark/>
          </w:tcPr>
          <w:p w14:paraId="40A9B95F"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4A3956E4" w14:textId="77777777" w:rsidR="00BD0C8C" w:rsidRPr="00EE78DC" w:rsidRDefault="00BD0C8C" w:rsidP="00EE78DC">
            <w:pPr>
              <w:jc w:val="right"/>
              <w:rPr>
                <w:rFonts w:ascii="Arial" w:hAnsi="Arial" w:cs="Arial"/>
                <w:color w:val="000000"/>
                <w:sz w:val="20"/>
                <w:szCs w:val="26"/>
              </w:rPr>
            </w:pPr>
          </w:p>
        </w:tc>
        <w:tc>
          <w:tcPr>
            <w:tcW w:w="1440" w:type="dxa"/>
            <w:shd w:val="clear" w:color="auto" w:fill="auto"/>
            <w:vAlign w:val="bottom"/>
          </w:tcPr>
          <w:p w14:paraId="14C73974" w14:textId="77777777" w:rsidR="00BD0C8C" w:rsidRPr="00EE78DC" w:rsidRDefault="00BD0C8C" w:rsidP="00EE78DC">
            <w:pPr>
              <w:jc w:val="right"/>
              <w:rPr>
                <w:rFonts w:ascii="Arial" w:hAnsi="Arial" w:cs="Arial"/>
                <w:color w:val="000000"/>
                <w:sz w:val="20"/>
                <w:szCs w:val="26"/>
              </w:rPr>
            </w:pPr>
          </w:p>
        </w:tc>
      </w:tr>
      <w:tr w:rsidR="00BD0C8C" w:rsidRPr="00E553DA" w14:paraId="58FD2BB2" w14:textId="77777777" w:rsidTr="00EE78DC">
        <w:trPr>
          <w:trHeight w:val="288"/>
        </w:trPr>
        <w:tc>
          <w:tcPr>
            <w:tcW w:w="2160" w:type="dxa"/>
            <w:shd w:val="clear" w:color="auto" w:fill="auto"/>
            <w:noWrap/>
            <w:vAlign w:val="bottom"/>
            <w:hideMark/>
          </w:tcPr>
          <w:p w14:paraId="5B404395"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Tourist Package </w:t>
            </w:r>
          </w:p>
        </w:tc>
        <w:tc>
          <w:tcPr>
            <w:tcW w:w="272" w:type="dxa"/>
            <w:shd w:val="clear" w:color="auto" w:fill="auto"/>
            <w:noWrap/>
            <w:vAlign w:val="bottom"/>
            <w:hideMark/>
          </w:tcPr>
          <w:p w14:paraId="4B6D9800"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466D0EEB" w14:textId="77777777" w:rsidR="00BD0C8C" w:rsidRPr="00EE78DC" w:rsidRDefault="00BD0C8C" w:rsidP="00EE78DC">
            <w:pPr>
              <w:jc w:val="right"/>
              <w:rPr>
                <w:rFonts w:ascii="Arial" w:hAnsi="Arial" w:cs="Arial"/>
                <w:color w:val="000000"/>
                <w:sz w:val="20"/>
                <w:szCs w:val="26"/>
              </w:rPr>
            </w:pPr>
          </w:p>
        </w:tc>
        <w:tc>
          <w:tcPr>
            <w:tcW w:w="1440" w:type="dxa"/>
            <w:shd w:val="clear" w:color="auto" w:fill="auto"/>
            <w:vAlign w:val="bottom"/>
          </w:tcPr>
          <w:p w14:paraId="60E21BD2" w14:textId="77777777" w:rsidR="00BD0C8C" w:rsidRPr="00EE78DC" w:rsidRDefault="00BD0C8C" w:rsidP="00EE78DC">
            <w:pPr>
              <w:jc w:val="right"/>
              <w:rPr>
                <w:rFonts w:ascii="Arial" w:hAnsi="Arial" w:cs="Arial"/>
                <w:color w:val="000000"/>
                <w:sz w:val="20"/>
                <w:szCs w:val="26"/>
              </w:rPr>
            </w:pPr>
          </w:p>
        </w:tc>
        <w:tc>
          <w:tcPr>
            <w:tcW w:w="272" w:type="dxa"/>
            <w:shd w:val="clear" w:color="auto" w:fill="auto"/>
            <w:noWrap/>
            <w:vAlign w:val="bottom"/>
            <w:hideMark/>
          </w:tcPr>
          <w:p w14:paraId="5D5227F2"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33D354E4"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$176.00</w:t>
            </w:r>
          </w:p>
        </w:tc>
        <w:tc>
          <w:tcPr>
            <w:tcW w:w="1440" w:type="dxa"/>
            <w:shd w:val="clear" w:color="auto" w:fill="auto"/>
            <w:vAlign w:val="bottom"/>
          </w:tcPr>
          <w:p w14:paraId="4D6C90D5" w14:textId="77777777" w:rsidR="00BD0C8C" w:rsidRPr="00EE78DC" w:rsidRDefault="00BD0C8C" w:rsidP="00EE78DC">
            <w:pPr>
              <w:jc w:val="right"/>
              <w:rPr>
                <w:rFonts w:ascii="Arial" w:hAnsi="Arial" w:cs="Arial"/>
                <w:color w:val="000000"/>
                <w:sz w:val="20"/>
                <w:szCs w:val="26"/>
              </w:rPr>
            </w:pPr>
          </w:p>
        </w:tc>
      </w:tr>
      <w:tr w:rsidR="00BD0C8C" w:rsidRPr="00E553DA" w14:paraId="2471A7FE" w14:textId="77777777" w:rsidTr="00EE78DC">
        <w:trPr>
          <w:trHeight w:val="288"/>
        </w:trPr>
        <w:tc>
          <w:tcPr>
            <w:tcW w:w="2160" w:type="dxa"/>
            <w:shd w:val="clear" w:color="auto" w:fill="auto"/>
            <w:noWrap/>
            <w:vAlign w:val="bottom"/>
            <w:hideMark/>
          </w:tcPr>
          <w:p w14:paraId="03823039"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Beer Sales </w:t>
            </w:r>
          </w:p>
        </w:tc>
        <w:tc>
          <w:tcPr>
            <w:tcW w:w="272" w:type="dxa"/>
            <w:shd w:val="clear" w:color="auto" w:fill="auto"/>
            <w:noWrap/>
            <w:vAlign w:val="bottom"/>
            <w:hideMark/>
          </w:tcPr>
          <w:p w14:paraId="3480A50B"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46486286"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$17,748.00</w:t>
            </w:r>
          </w:p>
        </w:tc>
        <w:tc>
          <w:tcPr>
            <w:tcW w:w="1440" w:type="dxa"/>
            <w:shd w:val="clear" w:color="auto" w:fill="auto"/>
            <w:vAlign w:val="bottom"/>
          </w:tcPr>
          <w:p w14:paraId="61F88C1D"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$9,789.00</w:t>
            </w:r>
          </w:p>
        </w:tc>
        <w:tc>
          <w:tcPr>
            <w:tcW w:w="272" w:type="dxa"/>
            <w:shd w:val="clear" w:color="auto" w:fill="auto"/>
            <w:noWrap/>
            <w:vAlign w:val="bottom"/>
            <w:hideMark/>
          </w:tcPr>
          <w:p w14:paraId="172421C9"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6030C90D" w14:textId="77777777" w:rsidR="00BD0C8C" w:rsidRPr="00EE78DC" w:rsidRDefault="00BD0C8C" w:rsidP="00EE78DC">
            <w:pPr>
              <w:jc w:val="right"/>
              <w:rPr>
                <w:rFonts w:ascii="Arial" w:hAnsi="Arial" w:cs="Arial"/>
                <w:color w:val="000000"/>
                <w:sz w:val="20"/>
                <w:szCs w:val="26"/>
              </w:rPr>
            </w:pPr>
            <w:r>
              <w:rPr>
                <w:rFonts w:ascii="Arial" w:hAnsi="Arial" w:cs="Arial"/>
                <w:color w:val="000000"/>
                <w:sz w:val="20"/>
                <w:szCs w:val="26"/>
              </w:rPr>
              <w:t>$24,669.00</w:t>
            </w:r>
          </w:p>
        </w:tc>
        <w:tc>
          <w:tcPr>
            <w:tcW w:w="1440" w:type="dxa"/>
            <w:shd w:val="clear" w:color="auto" w:fill="auto"/>
            <w:vAlign w:val="bottom"/>
          </w:tcPr>
          <w:p w14:paraId="4A9DD7EE" w14:textId="77777777" w:rsidR="00BD0C8C" w:rsidRPr="00EE78DC" w:rsidRDefault="00BD0C8C" w:rsidP="00EE78DC">
            <w:pPr>
              <w:jc w:val="right"/>
              <w:rPr>
                <w:rFonts w:ascii="Arial" w:hAnsi="Arial" w:cs="Arial"/>
                <w:color w:val="000000"/>
                <w:sz w:val="20"/>
                <w:szCs w:val="26"/>
              </w:rPr>
            </w:pPr>
          </w:p>
        </w:tc>
      </w:tr>
      <w:tr w:rsidR="00BD0C8C" w:rsidRPr="00E553DA" w14:paraId="76C60C65" w14:textId="77777777" w:rsidTr="00EE78DC">
        <w:trPr>
          <w:trHeight w:val="288"/>
        </w:trPr>
        <w:tc>
          <w:tcPr>
            <w:tcW w:w="2160" w:type="dxa"/>
            <w:shd w:val="clear" w:color="auto" w:fill="auto"/>
            <w:noWrap/>
            <w:vAlign w:val="bottom"/>
            <w:hideMark/>
          </w:tcPr>
          <w:p w14:paraId="37468FA5" w14:textId="77777777" w:rsidR="00BD0C8C" w:rsidRPr="00EE78DC" w:rsidRDefault="00BD0C8C"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 xml:space="preserve">Sales Tax </w:t>
            </w:r>
          </w:p>
        </w:tc>
        <w:tc>
          <w:tcPr>
            <w:tcW w:w="272" w:type="dxa"/>
            <w:shd w:val="clear" w:color="auto" w:fill="auto"/>
            <w:noWrap/>
            <w:vAlign w:val="bottom"/>
            <w:hideMark/>
          </w:tcPr>
          <w:p w14:paraId="290174A6" w14:textId="77777777" w:rsidR="00BD0C8C" w:rsidRPr="00EE78DC" w:rsidRDefault="00BD0C8C" w:rsidP="00BD0C8C">
            <w:pPr>
              <w:widowControl/>
              <w:autoSpaceDE/>
              <w:autoSpaceDN/>
              <w:adjustRightInd/>
              <w:rPr>
                <w:rFonts w:ascii="Arial" w:hAnsi="Arial" w:cs="Arial"/>
                <w:color w:val="000000"/>
                <w:sz w:val="20"/>
                <w:szCs w:val="26"/>
              </w:rPr>
            </w:pPr>
          </w:p>
        </w:tc>
        <w:tc>
          <w:tcPr>
            <w:tcW w:w="1528" w:type="dxa"/>
            <w:shd w:val="clear" w:color="auto" w:fill="auto"/>
            <w:noWrap/>
            <w:vAlign w:val="bottom"/>
            <w:hideMark/>
          </w:tcPr>
          <w:p w14:paraId="37E4D7A0" w14:textId="77777777" w:rsidR="00BD0C8C" w:rsidRPr="00EE78DC" w:rsidRDefault="00BD0C8C" w:rsidP="00EE78DC">
            <w:pPr>
              <w:widowControl/>
              <w:autoSpaceDE/>
              <w:autoSpaceDN/>
              <w:adjustRightInd/>
              <w:jc w:val="right"/>
              <w:rPr>
                <w:rFonts w:ascii="Arial" w:hAnsi="Arial" w:cs="Arial"/>
                <w:color w:val="000000"/>
                <w:sz w:val="20"/>
                <w:szCs w:val="26"/>
              </w:rPr>
            </w:pPr>
            <w:r>
              <w:rPr>
                <w:rFonts w:ascii="Arial" w:hAnsi="Arial" w:cs="Arial"/>
                <w:color w:val="000000"/>
                <w:sz w:val="20"/>
                <w:szCs w:val="26"/>
              </w:rPr>
              <w:t>$27,502.00</w:t>
            </w:r>
          </w:p>
        </w:tc>
        <w:tc>
          <w:tcPr>
            <w:tcW w:w="1440" w:type="dxa"/>
            <w:shd w:val="clear" w:color="auto" w:fill="auto"/>
            <w:vAlign w:val="bottom"/>
          </w:tcPr>
          <w:p w14:paraId="6130EE5D" w14:textId="77777777" w:rsidR="00BD0C8C" w:rsidRPr="00EE78DC" w:rsidRDefault="00BD0C8C" w:rsidP="00EE78DC">
            <w:pPr>
              <w:widowControl/>
              <w:autoSpaceDE/>
              <w:autoSpaceDN/>
              <w:adjustRightInd/>
              <w:jc w:val="right"/>
              <w:rPr>
                <w:rFonts w:ascii="Arial" w:hAnsi="Arial" w:cs="Arial"/>
                <w:color w:val="000000"/>
                <w:sz w:val="20"/>
                <w:szCs w:val="26"/>
              </w:rPr>
            </w:pPr>
            <w:r>
              <w:rPr>
                <w:rFonts w:ascii="Arial" w:hAnsi="Arial" w:cs="Arial"/>
                <w:color w:val="000000"/>
                <w:sz w:val="20"/>
                <w:szCs w:val="26"/>
              </w:rPr>
              <w:t>$12,087.00</w:t>
            </w:r>
          </w:p>
        </w:tc>
        <w:tc>
          <w:tcPr>
            <w:tcW w:w="272" w:type="dxa"/>
            <w:shd w:val="clear" w:color="auto" w:fill="auto"/>
            <w:noWrap/>
            <w:vAlign w:val="bottom"/>
            <w:hideMark/>
          </w:tcPr>
          <w:p w14:paraId="2D354C70" w14:textId="77777777" w:rsidR="00BD0C8C" w:rsidRPr="00EE78DC" w:rsidRDefault="00BD0C8C" w:rsidP="00BD0C8C">
            <w:pPr>
              <w:widowControl/>
              <w:autoSpaceDE/>
              <w:autoSpaceDN/>
              <w:adjustRightInd/>
              <w:rPr>
                <w:rFonts w:ascii="Arial" w:hAnsi="Arial" w:cs="Arial"/>
                <w:color w:val="000000"/>
                <w:sz w:val="20"/>
                <w:szCs w:val="26"/>
              </w:rPr>
            </w:pPr>
          </w:p>
        </w:tc>
        <w:tc>
          <w:tcPr>
            <w:tcW w:w="1568" w:type="dxa"/>
            <w:shd w:val="clear" w:color="auto" w:fill="auto"/>
            <w:noWrap/>
            <w:vAlign w:val="bottom"/>
            <w:hideMark/>
          </w:tcPr>
          <w:p w14:paraId="70C238AE" w14:textId="77777777" w:rsidR="00BD0C8C" w:rsidRPr="00EE78DC" w:rsidRDefault="00BD0C8C" w:rsidP="00EE78DC">
            <w:pPr>
              <w:widowControl/>
              <w:autoSpaceDE/>
              <w:autoSpaceDN/>
              <w:adjustRightInd/>
              <w:jc w:val="right"/>
              <w:rPr>
                <w:rFonts w:ascii="Arial" w:hAnsi="Arial" w:cs="Arial"/>
                <w:color w:val="000000"/>
                <w:sz w:val="20"/>
                <w:szCs w:val="26"/>
              </w:rPr>
            </w:pPr>
            <w:r>
              <w:rPr>
                <w:rFonts w:ascii="Arial" w:hAnsi="Arial" w:cs="Arial"/>
                <w:color w:val="000000"/>
                <w:sz w:val="20"/>
                <w:szCs w:val="26"/>
              </w:rPr>
              <w:t>$30,889.00</w:t>
            </w:r>
          </w:p>
        </w:tc>
        <w:tc>
          <w:tcPr>
            <w:tcW w:w="1440" w:type="dxa"/>
            <w:shd w:val="clear" w:color="auto" w:fill="auto"/>
            <w:vAlign w:val="bottom"/>
          </w:tcPr>
          <w:p w14:paraId="66055CCD" w14:textId="77777777" w:rsidR="00BD0C8C" w:rsidRPr="00EE78DC" w:rsidRDefault="00BD0C8C" w:rsidP="00EE78DC">
            <w:pPr>
              <w:widowControl/>
              <w:autoSpaceDE/>
              <w:autoSpaceDN/>
              <w:adjustRightInd/>
              <w:jc w:val="right"/>
              <w:rPr>
                <w:rFonts w:ascii="Arial" w:hAnsi="Arial" w:cs="Arial"/>
                <w:color w:val="000000"/>
                <w:sz w:val="20"/>
                <w:szCs w:val="26"/>
              </w:rPr>
            </w:pPr>
          </w:p>
        </w:tc>
      </w:tr>
      <w:tr w:rsidR="007A3D73" w:rsidRPr="00E553DA" w14:paraId="23557730" w14:textId="77777777" w:rsidTr="00EE78DC">
        <w:trPr>
          <w:trHeight w:val="188"/>
        </w:trPr>
        <w:tc>
          <w:tcPr>
            <w:tcW w:w="2160" w:type="dxa"/>
            <w:shd w:val="clear" w:color="auto" w:fill="auto"/>
            <w:noWrap/>
            <w:vAlign w:val="bottom"/>
          </w:tcPr>
          <w:p w14:paraId="26D67C6C" w14:textId="77777777" w:rsidR="007A3D73" w:rsidRPr="00EE78DC" w:rsidRDefault="007A3D73" w:rsidP="00BD0C8C">
            <w:pPr>
              <w:widowControl/>
              <w:autoSpaceDE/>
              <w:autoSpaceDN/>
              <w:adjustRightInd/>
              <w:rPr>
                <w:rFonts w:ascii="Arial" w:hAnsi="Arial" w:cs="Arial"/>
                <w:b/>
                <w:color w:val="000000"/>
                <w:sz w:val="20"/>
                <w:szCs w:val="26"/>
              </w:rPr>
            </w:pPr>
          </w:p>
        </w:tc>
        <w:tc>
          <w:tcPr>
            <w:tcW w:w="272" w:type="dxa"/>
            <w:shd w:val="clear" w:color="auto" w:fill="auto"/>
            <w:noWrap/>
            <w:vAlign w:val="bottom"/>
          </w:tcPr>
          <w:p w14:paraId="0D700D49" w14:textId="77777777" w:rsidR="007A3D73" w:rsidRPr="00EE78DC" w:rsidRDefault="007A3D73" w:rsidP="00BD0C8C">
            <w:pPr>
              <w:widowControl/>
              <w:autoSpaceDE/>
              <w:autoSpaceDN/>
              <w:adjustRightInd/>
              <w:rPr>
                <w:rFonts w:ascii="Arial" w:hAnsi="Arial" w:cs="Arial"/>
                <w:color w:val="000000"/>
                <w:sz w:val="20"/>
                <w:szCs w:val="26"/>
              </w:rPr>
            </w:pPr>
          </w:p>
        </w:tc>
        <w:tc>
          <w:tcPr>
            <w:tcW w:w="1528" w:type="dxa"/>
            <w:shd w:val="clear" w:color="auto" w:fill="auto"/>
            <w:noWrap/>
            <w:vAlign w:val="bottom"/>
          </w:tcPr>
          <w:p w14:paraId="1EBA5907" w14:textId="77777777" w:rsidR="007A3D73" w:rsidRDefault="007A3D73" w:rsidP="00BD0C8C">
            <w:pPr>
              <w:widowControl/>
              <w:autoSpaceDE/>
              <w:autoSpaceDN/>
              <w:adjustRightInd/>
              <w:jc w:val="right"/>
              <w:rPr>
                <w:rFonts w:ascii="Arial" w:hAnsi="Arial" w:cs="Arial"/>
                <w:color w:val="000000"/>
                <w:sz w:val="20"/>
                <w:szCs w:val="26"/>
              </w:rPr>
            </w:pPr>
          </w:p>
        </w:tc>
        <w:tc>
          <w:tcPr>
            <w:tcW w:w="1440" w:type="dxa"/>
            <w:shd w:val="clear" w:color="auto" w:fill="auto"/>
            <w:vAlign w:val="bottom"/>
          </w:tcPr>
          <w:p w14:paraId="6DF61B29" w14:textId="77777777" w:rsidR="007A3D73" w:rsidRDefault="007A3D73" w:rsidP="00BD0C8C">
            <w:pPr>
              <w:widowControl/>
              <w:autoSpaceDE/>
              <w:autoSpaceDN/>
              <w:adjustRightInd/>
              <w:jc w:val="right"/>
              <w:rPr>
                <w:rFonts w:ascii="Arial" w:hAnsi="Arial" w:cs="Arial"/>
                <w:color w:val="000000"/>
                <w:sz w:val="20"/>
                <w:szCs w:val="26"/>
              </w:rPr>
            </w:pPr>
          </w:p>
        </w:tc>
        <w:tc>
          <w:tcPr>
            <w:tcW w:w="272" w:type="dxa"/>
            <w:shd w:val="clear" w:color="auto" w:fill="auto"/>
            <w:noWrap/>
            <w:vAlign w:val="bottom"/>
          </w:tcPr>
          <w:p w14:paraId="157CE7E3" w14:textId="77777777" w:rsidR="007A3D73" w:rsidRPr="00EE78DC" w:rsidRDefault="007A3D73" w:rsidP="00BD0C8C">
            <w:pPr>
              <w:widowControl/>
              <w:autoSpaceDE/>
              <w:autoSpaceDN/>
              <w:adjustRightInd/>
              <w:rPr>
                <w:rFonts w:ascii="Arial" w:hAnsi="Arial" w:cs="Arial"/>
                <w:color w:val="000000"/>
                <w:sz w:val="20"/>
                <w:szCs w:val="26"/>
              </w:rPr>
            </w:pPr>
          </w:p>
        </w:tc>
        <w:tc>
          <w:tcPr>
            <w:tcW w:w="1568" w:type="dxa"/>
            <w:shd w:val="clear" w:color="auto" w:fill="auto"/>
            <w:noWrap/>
            <w:vAlign w:val="bottom"/>
          </w:tcPr>
          <w:p w14:paraId="73D8A9D5" w14:textId="77777777" w:rsidR="007A3D73" w:rsidRDefault="007A3D73" w:rsidP="00BD0C8C">
            <w:pPr>
              <w:widowControl/>
              <w:autoSpaceDE/>
              <w:autoSpaceDN/>
              <w:adjustRightInd/>
              <w:jc w:val="right"/>
              <w:rPr>
                <w:rFonts w:ascii="Arial" w:hAnsi="Arial" w:cs="Arial"/>
                <w:color w:val="000000"/>
                <w:sz w:val="20"/>
                <w:szCs w:val="26"/>
              </w:rPr>
            </w:pPr>
          </w:p>
        </w:tc>
        <w:tc>
          <w:tcPr>
            <w:tcW w:w="1440" w:type="dxa"/>
            <w:shd w:val="clear" w:color="auto" w:fill="auto"/>
            <w:vAlign w:val="bottom"/>
          </w:tcPr>
          <w:p w14:paraId="59F83D53" w14:textId="77777777" w:rsidR="007A3D73" w:rsidRPr="00EE78DC" w:rsidRDefault="007A3D73" w:rsidP="00BD0C8C">
            <w:pPr>
              <w:widowControl/>
              <w:autoSpaceDE/>
              <w:autoSpaceDN/>
              <w:adjustRightInd/>
              <w:jc w:val="right"/>
              <w:rPr>
                <w:rFonts w:ascii="Arial" w:hAnsi="Arial" w:cs="Arial"/>
                <w:color w:val="000000"/>
                <w:sz w:val="20"/>
                <w:szCs w:val="26"/>
              </w:rPr>
            </w:pPr>
          </w:p>
        </w:tc>
      </w:tr>
      <w:tr w:rsidR="007A3D73" w:rsidRPr="00E553DA" w14:paraId="2CFB7EA1" w14:textId="77777777" w:rsidTr="00EE78DC">
        <w:trPr>
          <w:trHeight w:val="288"/>
        </w:trPr>
        <w:tc>
          <w:tcPr>
            <w:tcW w:w="2160" w:type="dxa"/>
            <w:shd w:val="clear" w:color="auto" w:fill="auto"/>
            <w:noWrap/>
            <w:vAlign w:val="bottom"/>
            <w:hideMark/>
          </w:tcPr>
          <w:p w14:paraId="20CA44B5" w14:textId="77777777" w:rsidR="007A3D73" w:rsidRPr="00EE78DC" w:rsidRDefault="007A3D73" w:rsidP="00BD0C8C">
            <w:pPr>
              <w:widowControl/>
              <w:autoSpaceDE/>
              <w:autoSpaceDN/>
              <w:adjustRightInd/>
              <w:rPr>
                <w:rFonts w:ascii="Arial" w:hAnsi="Arial" w:cs="Arial"/>
                <w:b/>
                <w:color w:val="000000"/>
                <w:sz w:val="20"/>
                <w:szCs w:val="26"/>
              </w:rPr>
            </w:pPr>
            <w:r w:rsidRPr="00EE78DC">
              <w:rPr>
                <w:rFonts w:ascii="Arial" w:hAnsi="Arial" w:cs="Arial"/>
                <w:b/>
                <w:color w:val="000000"/>
                <w:sz w:val="20"/>
                <w:szCs w:val="26"/>
              </w:rPr>
              <w:t>Rounds of Golf</w:t>
            </w:r>
          </w:p>
        </w:tc>
        <w:tc>
          <w:tcPr>
            <w:tcW w:w="272" w:type="dxa"/>
            <w:shd w:val="clear" w:color="auto" w:fill="auto"/>
            <w:noWrap/>
            <w:vAlign w:val="bottom"/>
            <w:hideMark/>
          </w:tcPr>
          <w:p w14:paraId="0ABA862F" w14:textId="77777777" w:rsidR="007A3D73" w:rsidRPr="00EE78DC" w:rsidRDefault="007A3D73" w:rsidP="00BD0C8C">
            <w:pPr>
              <w:widowControl/>
              <w:autoSpaceDE/>
              <w:autoSpaceDN/>
              <w:adjustRightInd/>
              <w:rPr>
                <w:rFonts w:ascii="Arial" w:hAnsi="Arial" w:cs="Arial"/>
                <w:sz w:val="20"/>
                <w:szCs w:val="20"/>
              </w:rPr>
            </w:pPr>
          </w:p>
        </w:tc>
        <w:tc>
          <w:tcPr>
            <w:tcW w:w="1528" w:type="dxa"/>
            <w:shd w:val="clear" w:color="auto" w:fill="auto"/>
            <w:noWrap/>
            <w:vAlign w:val="bottom"/>
            <w:hideMark/>
          </w:tcPr>
          <w:p w14:paraId="30BA75EB" w14:textId="77777777" w:rsidR="007A3D73" w:rsidRPr="00EE78DC" w:rsidRDefault="007A3D73" w:rsidP="00EE78DC">
            <w:pPr>
              <w:widowControl/>
              <w:autoSpaceDE/>
              <w:autoSpaceDN/>
              <w:adjustRightInd/>
              <w:jc w:val="right"/>
              <w:rPr>
                <w:rFonts w:ascii="Arial" w:hAnsi="Arial" w:cs="Arial"/>
                <w:sz w:val="20"/>
                <w:szCs w:val="20"/>
              </w:rPr>
            </w:pPr>
            <w:r>
              <w:rPr>
                <w:rFonts w:ascii="Arial" w:hAnsi="Arial" w:cs="Arial"/>
                <w:sz w:val="20"/>
                <w:szCs w:val="20"/>
              </w:rPr>
              <w:t>18,169</w:t>
            </w:r>
          </w:p>
        </w:tc>
        <w:tc>
          <w:tcPr>
            <w:tcW w:w="1440" w:type="dxa"/>
            <w:shd w:val="clear" w:color="auto" w:fill="auto"/>
            <w:vAlign w:val="bottom"/>
          </w:tcPr>
          <w:p w14:paraId="7C4A7EBA" w14:textId="77777777" w:rsidR="007A3D73" w:rsidRPr="00EE78DC" w:rsidRDefault="007A3D73" w:rsidP="00EE78DC">
            <w:pPr>
              <w:widowControl/>
              <w:autoSpaceDE/>
              <w:autoSpaceDN/>
              <w:adjustRightInd/>
              <w:jc w:val="right"/>
              <w:rPr>
                <w:rFonts w:ascii="Arial" w:hAnsi="Arial" w:cs="Arial"/>
                <w:sz w:val="20"/>
                <w:szCs w:val="20"/>
              </w:rPr>
            </w:pPr>
            <w:r>
              <w:rPr>
                <w:rFonts w:ascii="Arial" w:hAnsi="Arial" w:cs="Arial"/>
                <w:sz w:val="20"/>
                <w:szCs w:val="20"/>
              </w:rPr>
              <w:t>11,369</w:t>
            </w:r>
          </w:p>
        </w:tc>
        <w:tc>
          <w:tcPr>
            <w:tcW w:w="272" w:type="dxa"/>
            <w:shd w:val="clear" w:color="auto" w:fill="auto"/>
            <w:noWrap/>
            <w:vAlign w:val="bottom"/>
            <w:hideMark/>
          </w:tcPr>
          <w:p w14:paraId="50EC94EA" w14:textId="77777777" w:rsidR="007A3D73" w:rsidRPr="00EE78DC" w:rsidRDefault="007A3D73" w:rsidP="00EE78DC">
            <w:pPr>
              <w:widowControl/>
              <w:autoSpaceDE/>
              <w:autoSpaceDN/>
              <w:adjustRightInd/>
              <w:jc w:val="right"/>
              <w:rPr>
                <w:rFonts w:ascii="Arial" w:hAnsi="Arial" w:cs="Arial"/>
                <w:sz w:val="20"/>
                <w:szCs w:val="20"/>
              </w:rPr>
            </w:pPr>
          </w:p>
        </w:tc>
        <w:tc>
          <w:tcPr>
            <w:tcW w:w="1568" w:type="dxa"/>
            <w:shd w:val="clear" w:color="auto" w:fill="auto"/>
            <w:noWrap/>
            <w:vAlign w:val="bottom"/>
            <w:hideMark/>
          </w:tcPr>
          <w:p w14:paraId="1F19ABDA" w14:textId="77777777" w:rsidR="007A3D73" w:rsidRPr="00EE78DC" w:rsidRDefault="007A3D73" w:rsidP="00EE78DC">
            <w:pPr>
              <w:widowControl/>
              <w:autoSpaceDE/>
              <w:autoSpaceDN/>
              <w:adjustRightInd/>
              <w:jc w:val="right"/>
              <w:rPr>
                <w:rFonts w:ascii="Arial" w:hAnsi="Arial" w:cs="Arial"/>
                <w:sz w:val="20"/>
                <w:szCs w:val="20"/>
              </w:rPr>
            </w:pPr>
            <w:r>
              <w:rPr>
                <w:rFonts w:ascii="Arial" w:hAnsi="Arial" w:cs="Arial"/>
                <w:sz w:val="20"/>
                <w:szCs w:val="20"/>
              </w:rPr>
              <w:t>20,411</w:t>
            </w:r>
          </w:p>
        </w:tc>
        <w:tc>
          <w:tcPr>
            <w:tcW w:w="1440" w:type="dxa"/>
            <w:shd w:val="clear" w:color="auto" w:fill="auto"/>
            <w:vAlign w:val="bottom"/>
          </w:tcPr>
          <w:p w14:paraId="36E291AE" w14:textId="77777777" w:rsidR="007A3D73" w:rsidRPr="00EE78DC" w:rsidRDefault="007A3D73" w:rsidP="00EE78DC">
            <w:pPr>
              <w:widowControl/>
              <w:autoSpaceDE/>
              <w:autoSpaceDN/>
              <w:adjustRightInd/>
              <w:jc w:val="right"/>
              <w:rPr>
                <w:rFonts w:ascii="Arial" w:hAnsi="Arial" w:cs="Arial"/>
                <w:sz w:val="20"/>
                <w:szCs w:val="20"/>
              </w:rPr>
            </w:pPr>
            <w:r>
              <w:rPr>
                <w:rFonts w:ascii="Arial" w:hAnsi="Arial" w:cs="Arial"/>
                <w:sz w:val="20"/>
                <w:szCs w:val="20"/>
              </w:rPr>
              <w:t>13,356</w:t>
            </w:r>
          </w:p>
        </w:tc>
      </w:tr>
      <w:tr w:rsidR="007A3D73" w:rsidRPr="00E553DA" w14:paraId="5C37C355" w14:textId="77777777" w:rsidTr="00EE78DC">
        <w:trPr>
          <w:trHeight w:val="89"/>
        </w:trPr>
        <w:tc>
          <w:tcPr>
            <w:tcW w:w="2160" w:type="dxa"/>
            <w:shd w:val="clear" w:color="auto" w:fill="auto"/>
            <w:noWrap/>
            <w:vAlign w:val="bottom"/>
          </w:tcPr>
          <w:p w14:paraId="4735A5BA" w14:textId="77777777" w:rsidR="007A3D73" w:rsidRPr="00EE78DC" w:rsidRDefault="007A3D73" w:rsidP="00BD0C8C">
            <w:pPr>
              <w:widowControl/>
              <w:autoSpaceDE/>
              <w:autoSpaceDN/>
              <w:adjustRightInd/>
              <w:rPr>
                <w:rFonts w:ascii="Arial" w:hAnsi="Arial" w:cs="Arial"/>
                <w:b/>
                <w:color w:val="000000"/>
                <w:sz w:val="20"/>
                <w:szCs w:val="26"/>
              </w:rPr>
            </w:pPr>
          </w:p>
        </w:tc>
        <w:tc>
          <w:tcPr>
            <w:tcW w:w="272" w:type="dxa"/>
            <w:shd w:val="clear" w:color="auto" w:fill="auto"/>
            <w:noWrap/>
            <w:vAlign w:val="bottom"/>
          </w:tcPr>
          <w:p w14:paraId="7023B618" w14:textId="77777777" w:rsidR="007A3D73" w:rsidRPr="00EE78DC" w:rsidRDefault="007A3D73" w:rsidP="00BD0C8C">
            <w:pPr>
              <w:widowControl/>
              <w:autoSpaceDE/>
              <w:autoSpaceDN/>
              <w:adjustRightInd/>
              <w:rPr>
                <w:rFonts w:ascii="Arial" w:hAnsi="Arial" w:cs="Arial"/>
                <w:sz w:val="20"/>
                <w:szCs w:val="20"/>
              </w:rPr>
            </w:pPr>
          </w:p>
        </w:tc>
        <w:tc>
          <w:tcPr>
            <w:tcW w:w="1528" w:type="dxa"/>
            <w:shd w:val="clear" w:color="auto" w:fill="auto"/>
            <w:noWrap/>
            <w:vAlign w:val="bottom"/>
          </w:tcPr>
          <w:p w14:paraId="250DBBA5" w14:textId="77777777" w:rsidR="007A3D73" w:rsidRDefault="007A3D73" w:rsidP="007A3D73">
            <w:pPr>
              <w:widowControl/>
              <w:autoSpaceDE/>
              <w:autoSpaceDN/>
              <w:adjustRightInd/>
              <w:jc w:val="right"/>
              <w:rPr>
                <w:rFonts w:ascii="Arial" w:hAnsi="Arial" w:cs="Arial"/>
                <w:sz w:val="20"/>
                <w:szCs w:val="20"/>
              </w:rPr>
            </w:pPr>
          </w:p>
        </w:tc>
        <w:tc>
          <w:tcPr>
            <w:tcW w:w="1440" w:type="dxa"/>
            <w:shd w:val="clear" w:color="auto" w:fill="auto"/>
            <w:vAlign w:val="bottom"/>
          </w:tcPr>
          <w:p w14:paraId="1AE46569" w14:textId="77777777" w:rsidR="007A3D73" w:rsidRDefault="007A3D73" w:rsidP="007A3D73">
            <w:pPr>
              <w:widowControl/>
              <w:autoSpaceDE/>
              <w:autoSpaceDN/>
              <w:adjustRightInd/>
              <w:jc w:val="right"/>
              <w:rPr>
                <w:rFonts w:ascii="Arial" w:hAnsi="Arial" w:cs="Arial"/>
                <w:sz w:val="20"/>
                <w:szCs w:val="20"/>
              </w:rPr>
            </w:pPr>
          </w:p>
        </w:tc>
        <w:tc>
          <w:tcPr>
            <w:tcW w:w="272" w:type="dxa"/>
            <w:shd w:val="clear" w:color="auto" w:fill="auto"/>
            <w:noWrap/>
            <w:vAlign w:val="bottom"/>
          </w:tcPr>
          <w:p w14:paraId="47133706" w14:textId="77777777" w:rsidR="007A3D73" w:rsidRPr="00EE78DC" w:rsidRDefault="007A3D73" w:rsidP="007A3D73">
            <w:pPr>
              <w:widowControl/>
              <w:autoSpaceDE/>
              <w:autoSpaceDN/>
              <w:adjustRightInd/>
              <w:jc w:val="right"/>
              <w:rPr>
                <w:rFonts w:ascii="Arial" w:hAnsi="Arial" w:cs="Arial"/>
                <w:sz w:val="20"/>
                <w:szCs w:val="20"/>
              </w:rPr>
            </w:pPr>
          </w:p>
        </w:tc>
        <w:tc>
          <w:tcPr>
            <w:tcW w:w="1568" w:type="dxa"/>
            <w:shd w:val="clear" w:color="auto" w:fill="auto"/>
            <w:noWrap/>
            <w:vAlign w:val="bottom"/>
          </w:tcPr>
          <w:p w14:paraId="4732BEC4" w14:textId="77777777" w:rsidR="007A3D73" w:rsidRDefault="007A3D73" w:rsidP="007A3D73">
            <w:pPr>
              <w:widowControl/>
              <w:autoSpaceDE/>
              <w:autoSpaceDN/>
              <w:adjustRightInd/>
              <w:jc w:val="right"/>
              <w:rPr>
                <w:rFonts w:ascii="Arial" w:hAnsi="Arial" w:cs="Arial"/>
                <w:sz w:val="20"/>
                <w:szCs w:val="20"/>
              </w:rPr>
            </w:pPr>
          </w:p>
        </w:tc>
        <w:tc>
          <w:tcPr>
            <w:tcW w:w="1440" w:type="dxa"/>
            <w:shd w:val="clear" w:color="auto" w:fill="auto"/>
            <w:vAlign w:val="bottom"/>
          </w:tcPr>
          <w:p w14:paraId="00CD3A07" w14:textId="77777777" w:rsidR="007A3D73" w:rsidRDefault="007A3D73" w:rsidP="007A3D73">
            <w:pPr>
              <w:widowControl/>
              <w:autoSpaceDE/>
              <w:autoSpaceDN/>
              <w:adjustRightInd/>
              <w:jc w:val="right"/>
              <w:rPr>
                <w:rFonts w:ascii="Arial" w:hAnsi="Arial" w:cs="Arial"/>
                <w:sz w:val="20"/>
                <w:szCs w:val="20"/>
              </w:rPr>
            </w:pPr>
          </w:p>
        </w:tc>
      </w:tr>
      <w:tr w:rsidR="00BD0C8C" w:rsidRPr="00E553DA" w14:paraId="5AC133FD" w14:textId="77777777" w:rsidTr="00EE78DC">
        <w:trPr>
          <w:trHeight w:val="288"/>
        </w:trPr>
        <w:tc>
          <w:tcPr>
            <w:tcW w:w="2160" w:type="dxa"/>
            <w:shd w:val="clear" w:color="auto" w:fill="DEEAF6" w:themeFill="accent1" w:themeFillTint="33"/>
            <w:noWrap/>
            <w:vAlign w:val="bottom"/>
            <w:hideMark/>
          </w:tcPr>
          <w:p w14:paraId="624D74D6" w14:textId="77777777" w:rsidR="00BD0C8C" w:rsidRPr="00EE78DC" w:rsidRDefault="00BD0C8C" w:rsidP="00BD0C8C">
            <w:pPr>
              <w:widowControl/>
              <w:autoSpaceDE/>
              <w:autoSpaceDN/>
              <w:adjustRightInd/>
              <w:rPr>
                <w:rFonts w:ascii="Arial" w:hAnsi="Arial" w:cs="Arial"/>
                <w:b/>
                <w:bCs/>
                <w:color w:val="000000"/>
                <w:sz w:val="20"/>
                <w:szCs w:val="28"/>
              </w:rPr>
            </w:pPr>
            <w:r w:rsidRPr="00EE78DC">
              <w:rPr>
                <w:rFonts w:ascii="Arial" w:hAnsi="Arial" w:cs="Arial"/>
                <w:b/>
                <w:bCs/>
                <w:color w:val="000000"/>
                <w:sz w:val="20"/>
                <w:szCs w:val="28"/>
              </w:rPr>
              <w:t>Total Revenue</w:t>
            </w:r>
          </w:p>
        </w:tc>
        <w:tc>
          <w:tcPr>
            <w:tcW w:w="272" w:type="dxa"/>
            <w:shd w:val="clear" w:color="auto" w:fill="DEEAF6" w:themeFill="accent1" w:themeFillTint="33"/>
            <w:noWrap/>
            <w:vAlign w:val="bottom"/>
            <w:hideMark/>
          </w:tcPr>
          <w:p w14:paraId="50881CB1" w14:textId="77777777" w:rsidR="00BD0C8C" w:rsidRPr="00EE78DC" w:rsidRDefault="00BD0C8C" w:rsidP="00BD0C8C">
            <w:pPr>
              <w:widowControl/>
              <w:autoSpaceDE/>
              <w:autoSpaceDN/>
              <w:adjustRightInd/>
              <w:rPr>
                <w:rFonts w:ascii="Arial" w:hAnsi="Arial" w:cs="Arial"/>
                <w:b/>
                <w:bCs/>
                <w:color w:val="000000"/>
                <w:sz w:val="20"/>
                <w:szCs w:val="28"/>
              </w:rPr>
            </w:pPr>
          </w:p>
        </w:tc>
        <w:tc>
          <w:tcPr>
            <w:tcW w:w="2968" w:type="dxa"/>
            <w:gridSpan w:val="2"/>
            <w:shd w:val="clear" w:color="auto" w:fill="DEEAF6" w:themeFill="accent1" w:themeFillTint="33"/>
            <w:noWrap/>
            <w:vAlign w:val="bottom"/>
            <w:hideMark/>
          </w:tcPr>
          <w:p w14:paraId="10C1A22C" w14:textId="77777777" w:rsidR="00BD0C8C" w:rsidRPr="00EE78DC" w:rsidRDefault="00BD0C8C" w:rsidP="00EE78DC">
            <w:pPr>
              <w:widowControl/>
              <w:autoSpaceDE/>
              <w:autoSpaceDN/>
              <w:adjustRightInd/>
              <w:jc w:val="center"/>
              <w:rPr>
                <w:rFonts w:ascii="Arial" w:hAnsi="Arial" w:cs="Arial"/>
                <w:b/>
                <w:bCs/>
                <w:color w:val="000000"/>
                <w:sz w:val="20"/>
                <w:szCs w:val="28"/>
              </w:rPr>
            </w:pPr>
            <w:r w:rsidRPr="00EE78DC">
              <w:rPr>
                <w:rFonts w:ascii="Arial" w:hAnsi="Arial" w:cs="Arial"/>
                <w:b/>
                <w:bCs/>
                <w:color w:val="000000"/>
                <w:sz w:val="20"/>
                <w:szCs w:val="28"/>
              </w:rPr>
              <w:t>$</w:t>
            </w:r>
            <w:r>
              <w:rPr>
                <w:rFonts w:ascii="Arial" w:hAnsi="Arial" w:cs="Arial"/>
                <w:b/>
                <w:bCs/>
                <w:color w:val="000000"/>
                <w:sz w:val="20"/>
                <w:szCs w:val="28"/>
              </w:rPr>
              <w:t>695,763.00</w:t>
            </w:r>
          </w:p>
        </w:tc>
        <w:tc>
          <w:tcPr>
            <w:tcW w:w="272" w:type="dxa"/>
            <w:shd w:val="clear" w:color="auto" w:fill="DEEAF6" w:themeFill="accent1" w:themeFillTint="33"/>
            <w:noWrap/>
            <w:vAlign w:val="bottom"/>
            <w:hideMark/>
          </w:tcPr>
          <w:p w14:paraId="6F772CBA" w14:textId="77777777" w:rsidR="00BD0C8C" w:rsidRPr="00EE78DC" w:rsidRDefault="00BD0C8C" w:rsidP="00EE78DC">
            <w:pPr>
              <w:widowControl/>
              <w:autoSpaceDE/>
              <w:autoSpaceDN/>
              <w:adjustRightInd/>
              <w:jc w:val="center"/>
              <w:rPr>
                <w:rFonts w:ascii="Arial" w:hAnsi="Arial" w:cs="Arial"/>
                <w:b/>
                <w:bCs/>
                <w:color w:val="000000"/>
                <w:sz w:val="20"/>
                <w:szCs w:val="28"/>
              </w:rPr>
            </w:pPr>
          </w:p>
        </w:tc>
        <w:tc>
          <w:tcPr>
            <w:tcW w:w="3008" w:type="dxa"/>
            <w:gridSpan w:val="2"/>
            <w:shd w:val="clear" w:color="auto" w:fill="DEEAF6" w:themeFill="accent1" w:themeFillTint="33"/>
            <w:noWrap/>
            <w:vAlign w:val="bottom"/>
            <w:hideMark/>
          </w:tcPr>
          <w:p w14:paraId="49FBC4FF" w14:textId="77777777" w:rsidR="00BD0C8C" w:rsidRPr="00EE78DC" w:rsidRDefault="00BD0C8C" w:rsidP="00EE78DC">
            <w:pPr>
              <w:widowControl/>
              <w:autoSpaceDE/>
              <w:autoSpaceDN/>
              <w:adjustRightInd/>
              <w:jc w:val="center"/>
              <w:rPr>
                <w:rFonts w:ascii="Arial" w:hAnsi="Arial" w:cs="Arial"/>
                <w:b/>
                <w:bCs/>
                <w:color w:val="000000"/>
                <w:sz w:val="20"/>
                <w:szCs w:val="28"/>
              </w:rPr>
            </w:pPr>
            <w:r w:rsidRPr="00EE78DC">
              <w:rPr>
                <w:rFonts w:ascii="Arial" w:hAnsi="Arial" w:cs="Arial"/>
                <w:b/>
                <w:bCs/>
                <w:color w:val="000000"/>
                <w:sz w:val="20"/>
                <w:szCs w:val="28"/>
              </w:rPr>
              <w:t>$</w:t>
            </w:r>
            <w:r>
              <w:rPr>
                <w:rFonts w:ascii="Arial" w:hAnsi="Arial" w:cs="Arial"/>
                <w:b/>
                <w:bCs/>
                <w:color w:val="000000"/>
                <w:sz w:val="20"/>
                <w:szCs w:val="28"/>
              </w:rPr>
              <w:t>828,516.00</w:t>
            </w:r>
          </w:p>
        </w:tc>
      </w:tr>
    </w:tbl>
    <w:p w14:paraId="40F46A72" w14:textId="77777777" w:rsidR="00BC216A" w:rsidRDefault="00F91FD7" w:rsidP="00EE78DC">
      <w:pPr>
        <w:spacing w:before="240" w:after="240"/>
        <w:ind w:left="720"/>
        <w:jc w:val="both"/>
        <w:rPr>
          <w:rFonts w:ascii="Arial" w:hAnsi="Arial" w:cs="Arial"/>
          <w:sz w:val="22"/>
          <w:szCs w:val="22"/>
        </w:rPr>
      </w:pPr>
      <w:r w:rsidRPr="00AD5E69">
        <w:rPr>
          <w:rFonts w:ascii="Arial" w:hAnsi="Arial" w:cs="Arial"/>
          <w:sz w:val="22"/>
          <w:szCs w:val="22"/>
        </w:rPr>
        <w:t>It is MDWFP’s intent that the</w:t>
      </w:r>
      <w:r w:rsidR="00F21853">
        <w:rPr>
          <w:rFonts w:ascii="Arial" w:hAnsi="Arial" w:cs="Arial"/>
          <w:sz w:val="22"/>
          <w:szCs w:val="22"/>
        </w:rPr>
        <w:t xml:space="preserve"> Golf Management</w:t>
      </w:r>
      <w:r w:rsidRPr="00AD5E69">
        <w:rPr>
          <w:rFonts w:ascii="Arial" w:hAnsi="Arial" w:cs="Arial"/>
          <w:sz w:val="22"/>
          <w:szCs w:val="22"/>
        </w:rPr>
        <w:t xml:space="preserve"> </w:t>
      </w:r>
      <w:r w:rsidR="00F21853">
        <w:rPr>
          <w:rFonts w:ascii="Arial" w:hAnsi="Arial" w:cs="Arial"/>
          <w:sz w:val="22"/>
          <w:szCs w:val="22"/>
        </w:rPr>
        <w:t>Sy</w:t>
      </w:r>
      <w:r w:rsidRPr="00AD5E69">
        <w:rPr>
          <w:rFonts w:ascii="Arial" w:hAnsi="Arial" w:cs="Arial"/>
          <w:sz w:val="22"/>
          <w:szCs w:val="22"/>
        </w:rPr>
        <w:t xml:space="preserve">stem be implemented and maintained by fees generated by customer usage. MDWFP guests will have the ability to make reservations at the </w:t>
      </w:r>
      <w:r w:rsidR="000B17FF" w:rsidRPr="00AD5E69">
        <w:rPr>
          <w:rFonts w:ascii="Arial" w:hAnsi="Arial" w:cs="Arial"/>
          <w:sz w:val="22"/>
          <w:szCs w:val="22"/>
        </w:rPr>
        <w:t xml:space="preserve">golf course </w:t>
      </w:r>
      <w:r w:rsidRPr="0099741E">
        <w:rPr>
          <w:rFonts w:ascii="Arial" w:hAnsi="Arial" w:cs="Arial"/>
          <w:sz w:val="22"/>
          <w:szCs w:val="22"/>
        </w:rPr>
        <w:t>and/or via the Internet</w:t>
      </w:r>
      <w:r w:rsidR="00E2671F">
        <w:rPr>
          <w:rFonts w:ascii="Arial" w:hAnsi="Arial" w:cs="Arial"/>
          <w:sz w:val="22"/>
          <w:szCs w:val="22"/>
        </w:rPr>
        <w:t>/mobile application</w:t>
      </w:r>
      <w:r w:rsidRPr="0099741E">
        <w:rPr>
          <w:rFonts w:ascii="Arial" w:hAnsi="Arial" w:cs="Arial"/>
          <w:sz w:val="22"/>
          <w:szCs w:val="22"/>
        </w:rPr>
        <w:t>.</w:t>
      </w:r>
      <w:r w:rsidR="0099741E">
        <w:rPr>
          <w:rFonts w:ascii="Arial" w:hAnsi="Arial" w:cs="Arial"/>
          <w:sz w:val="22"/>
          <w:szCs w:val="22"/>
        </w:rPr>
        <w:t xml:space="preserve"> </w:t>
      </w:r>
      <w:r w:rsidR="00037393">
        <w:rPr>
          <w:rFonts w:ascii="Arial" w:hAnsi="Arial" w:cs="Arial"/>
          <w:sz w:val="22"/>
          <w:szCs w:val="22"/>
        </w:rPr>
        <w:t>MDWFP guest</w:t>
      </w:r>
      <w:r w:rsidR="000825FA">
        <w:rPr>
          <w:rFonts w:ascii="Arial" w:hAnsi="Arial" w:cs="Arial"/>
          <w:sz w:val="22"/>
          <w:szCs w:val="22"/>
        </w:rPr>
        <w:t>s</w:t>
      </w:r>
      <w:r w:rsidR="00037393">
        <w:rPr>
          <w:rFonts w:ascii="Arial" w:hAnsi="Arial" w:cs="Arial"/>
          <w:sz w:val="22"/>
          <w:szCs w:val="22"/>
        </w:rPr>
        <w:t xml:space="preserve"> should also have the ability to make changes to their reservations and those changes should be reflect</w:t>
      </w:r>
      <w:r w:rsidR="000825FA">
        <w:rPr>
          <w:rFonts w:ascii="Arial" w:hAnsi="Arial" w:cs="Arial"/>
          <w:sz w:val="22"/>
          <w:szCs w:val="22"/>
        </w:rPr>
        <w:t>ed</w:t>
      </w:r>
      <w:r w:rsidR="00037393">
        <w:rPr>
          <w:rFonts w:ascii="Arial" w:hAnsi="Arial" w:cs="Arial"/>
          <w:sz w:val="22"/>
          <w:szCs w:val="22"/>
        </w:rPr>
        <w:t xml:space="preserve"> to the customer and to MDWFP. MDWFP requires 24/7 support for any improvements, changes to the site, or bug fixes in the production environment.</w:t>
      </w:r>
    </w:p>
    <w:p w14:paraId="7BA462B7" w14:textId="77777777" w:rsidR="000B17FF" w:rsidRPr="00AD5E69" w:rsidRDefault="00F21853" w:rsidP="00883216">
      <w:pPr>
        <w:spacing w:after="240"/>
        <w:ind w:left="720"/>
        <w:jc w:val="both"/>
        <w:rPr>
          <w:rFonts w:ascii="Arial" w:hAnsi="Arial" w:cs="Arial"/>
          <w:sz w:val="22"/>
          <w:szCs w:val="22"/>
        </w:rPr>
      </w:pPr>
      <w:r>
        <w:rPr>
          <w:rFonts w:ascii="Arial" w:hAnsi="Arial" w:cs="Arial"/>
          <w:sz w:val="22"/>
          <w:szCs w:val="22"/>
        </w:rPr>
        <w:t>Currently, MDWFP has two other golf courses that are leased to outside management</w:t>
      </w:r>
      <w:r w:rsidR="007A3D73">
        <w:rPr>
          <w:rFonts w:ascii="Arial" w:hAnsi="Arial" w:cs="Arial"/>
          <w:sz w:val="22"/>
          <w:szCs w:val="22"/>
        </w:rPr>
        <w:t xml:space="preserve">:  </w:t>
      </w:r>
      <w:r w:rsidR="00C6052E" w:rsidRPr="00883216">
        <w:rPr>
          <w:rFonts w:ascii="Arial" w:hAnsi="Arial" w:cs="Arial"/>
          <w:sz w:val="22"/>
          <w:szCs w:val="22"/>
        </w:rPr>
        <w:t xml:space="preserve">The Dogwoods </w:t>
      </w:r>
      <w:r w:rsidR="00BC216A">
        <w:rPr>
          <w:rFonts w:ascii="Arial" w:hAnsi="Arial" w:cs="Arial"/>
          <w:sz w:val="22"/>
          <w:szCs w:val="22"/>
        </w:rPr>
        <w:t>in Grenada, Mississippi</w:t>
      </w:r>
      <w:r w:rsidR="00257D2F">
        <w:rPr>
          <w:rFonts w:ascii="Arial" w:hAnsi="Arial" w:cs="Arial"/>
          <w:sz w:val="22"/>
          <w:szCs w:val="22"/>
        </w:rPr>
        <w:t>,</w:t>
      </w:r>
      <w:r w:rsidR="00BC216A">
        <w:rPr>
          <w:rFonts w:ascii="Arial" w:hAnsi="Arial" w:cs="Arial"/>
          <w:sz w:val="22"/>
          <w:szCs w:val="22"/>
        </w:rPr>
        <w:t xml:space="preserve"> </w:t>
      </w:r>
      <w:r w:rsidR="00C6052E" w:rsidRPr="00883216">
        <w:rPr>
          <w:rFonts w:ascii="Arial" w:hAnsi="Arial" w:cs="Arial"/>
          <w:sz w:val="22"/>
          <w:szCs w:val="22"/>
        </w:rPr>
        <w:t xml:space="preserve">and Mallard Pointe </w:t>
      </w:r>
      <w:r w:rsidR="00BC216A">
        <w:rPr>
          <w:rFonts w:ascii="Arial" w:hAnsi="Arial" w:cs="Arial"/>
          <w:sz w:val="22"/>
          <w:szCs w:val="22"/>
        </w:rPr>
        <w:t>in Sardis, Mississippi</w:t>
      </w:r>
      <w:r w:rsidR="007A3D73">
        <w:rPr>
          <w:rFonts w:ascii="Arial" w:hAnsi="Arial" w:cs="Arial"/>
          <w:sz w:val="22"/>
          <w:szCs w:val="22"/>
        </w:rPr>
        <w:t xml:space="preserve">. MDWFP would like to have the option for the Golf Management System to be offered at these </w:t>
      </w:r>
      <w:r w:rsidR="000825FA">
        <w:rPr>
          <w:rFonts w:ascii="Arial" w:hAnsi="Arial" w:cs="Arial"/>
          <w:sz w:val="22"/>
          <w:szCs w:val="22"/>
        </w:rPr>
        <w:t>existing courses in the future.</w:t>
      </w:r>
    </w:p>
    <w:p w14:paraId="6C6BF55F" w14:textId="77777777" w:rsidR="00BC216A" w:rsidRPr="00883216" w:rsidRDefault="00BF6B07" w:rsidP="00883216">
      <w:pPr>
        <w:pStyle w:val="Level1"/>
        <w:jc w:val="both"/>
        <w:rPr>
          <w:rFonts w:ascii="Arial" w:hAnsi="Arial" w:cs="Arial"/>
          <w:b/>
          <w:sz w:val="22"/>
          <w:szCs w:val="22"/>
        </w:rPr>
      </w:pPr>
      <w:r w:rsidRPr="003560BD">
        <w:rPr>
          <w:rFonts w:ascii="Arial" w:hAnsi="Arial" w:cs="Arial"/>
          <w:b/>
          <w:sz w:val="22"/>
          <w:szCs w:val="22"/>
        </w:rPr>
        <w:t xml:space="preserve">Procurement Project Schedule </w:t>
      </w:r>
    </w:p>
    <w:tbl>
      <w:tblPr>
        <w:tblpPr w:leftFromText="180" w:rightFromText="180" w:vertAnchor="text" w:horzAnchor="page"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484771" w:rsidRPr="00883216" w14:paraId="15E5960D" w14:textId="77777777" w:rsidTr="00484771">
        <w:tc>
          <w:tcPr>
            <w:tcW w:w="4596" w:type="dxa"/>
          </w:tcPr>
          <w:p w14:paraId="04B13720" w14:textId="77777777" w:rsidR="00484771" w:rsidRPr="00883216" w:rsidRDefault="00484771" w:rsidP="00484771">
            <w:pPr>
              <w:jc w:val="both"/>
              <w:rPr>
                <w:rFonts w:ascii="Arial" w:hAnsi="Arial" w:cs="Arial"/>
                <w:b/>
                <w:bCs/>
                <w:sz w:val="22"/>
                <w:szCs w:val="22"/>
              </w:rPr>
            </w:pPr>
            <w:r w:rsidRPr="00883216">
              <w:rPr>
                <w:rFonts w:ascii="Arial" w:hAnsi="Arial" w:cs="Arial"/>
                <w:b/>
                <w:bCs/>
                <w:sz w:val="22"/>
                <w:szCs w:val="22"/>
              </w:rPr>
              <w:t>Task</w:t>
            </w:r>
          </w:p>
        </w:tc>
        <w:tc>
          <w:tcPr>
            <w:tcW w:w="2442" w:type="dxa"/>
          </w:tcPr>
          <w:p w14:paraId="1D9C729C" w14:textId="77777777" w:rsidR="00484771" w:rsidRPr="00883216" w:rsidRDefault="00484771" w:rsidP="00484771">
            <w:pPr>
              <w:jc w:val="both"/>
              <w:rPr>
                <w:rFonts w:ascii="Arial" w:hAnsi="Arial" w:cs="Arial"/>
                <w:b/>
                <w:bCs/>
                <w:sz w:val="22"/>
                <w:szCs w:val="22"/>
              </w:rPr>
            </w:pPr>
            <w:r w:rsidRPr="00883216">
              <w:rPr>
                <w:rFonts w:ascii="Arial" w:hAnsi="Arial" w:cs="Arial"/>
                <w:b/>
                <w:bCs/>
                <w:sz w:val="22"/>
                <w:szCs w:val="22"/>
              </w:rPr>
              <w:t>Date</w:t>
            </w:r>
          </w:p>
        </w:tc>
      </w:tr>
      <w:tr w:rsidR="00484771" w:rsidRPr="00883216" w14:paraId="6BA05306" w14:textId="77777777" w:rsidTr="00484771">
        <w:tc>
          <w:tcPr>
            <w:tcW w:w="4596" w:type="dxa"/>
          </w:tcPr>
          <w:p w14:paraId="23BA4039"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First Advertisement Date for RFP</w:t>
            </w:r>
          </w:p>
        </w:tc>
        <w:tc>
          <w:tcPr>
            <w:tcW w:w="2442" w:type="dxa"/>
          </w:tcPr>
          <w:p w14:paraId="3B3E99D5" w14:textId="77777777" w:rsidR="00484771" w:rsidRPr="001467A8" w:rsidRDefault="001467A8" w:rsidP="00E9611B">
            <w:pPr>
              <w:jc w:val="both"/>
              <w:rPr>
                <w:rFonts w:ascii="Arial" w:hAnsi="Arial" w:cs="Arial"/>
                <w:sz w:val="22"/>
                <w:szCs w:val="22"/>
              </w:rPr>
            </w:pPr>
            <w:r w:rsidRPr="001467A8">
              <w:rPr>
                <w:rFonts w:ascii="Arial" w:hAnsi="Arial" w:cs="Arial"/>
                <w:sz w:val="22"/>
                <w:szCs w:val="22"/>
              </w:rPr>
              <w:t>06/06/17</w:t>
            </w:r>
          </w:p>
        </w:tc>
      </w:tr>
      <w:tr w:rsidR="00484771" w:rsidRPr="00883216" w14:paraId="765A6AF8" w14:textId="77777777" w:rsidTr="00484771">
        <w:tc>
          <w:tcPr>
            <w:tcW w:w="4596" w:type="dxa"/>
          </w:tcPr>
          <w:p w14:paraId="009DF46F"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Second Advertisement Date for RFP</w:t>
            </w:r>
          </w:p>
        </w:tc>
        <w:tc>
          <w:tcPr>
            <w:tcW w:w="2442" w:type="dxa"/>
          </w:tcPr>
          <w:p w14:paraId="46B7057D" w14:textId="77777777" w:rsidR="00484771" w:rsidRPr="001467A8" w:rsidRDefault="001467A8" w:rsidP="00E9611B">
            <w:pPr>
              <w:jc w:val="both"/>
              <w:rPr>
                <w:rFonts w:ascii="Arial" w:hAnsi="Arial" w:cs="Arial"/>
                <w:sz w:val="22"/>
                <w:szCs w:val="22"/>
              </w:rPr>
            </w:pPr>
            <w:r w:rsidRPr="001467A8">
              <w:rPr>
                <w:rFonts w:ascii="Arial" w:hAnsi="Arial" w:cs="Arial"/>
                <w:sz w:val="22"/>
                <w:szCs w:val="22"/>
              </w:rPr>
              <w:t>06/13/17</w:t>
            </w:r>
          </w:p>
        </w:tc>
      </w:tr>
      <w:tr w:rsidR="00484771" w:rsidRPr="00883216" w14:paraId="447600A3" w14:textId="77777777" w:rsidTr="00484771">
        <w:tc>
          <w:tcPr>
            <w:tcW w:w="4596" w:type="dxa"/>
          </w:tcPr>
          <w:p w14:paraId="05C69A3E"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Deadline for Vendor’s Written Questions</w:t>
            </w:r>
          </w:p>
        </w:tc>
        <w:tc>
          <w:tcPr>
            <w:tcW w:w="2442" w:type="dxa"/>
          </w:tcPr>
          <w:p w14:paraId="2F17F09A" w14:textId="77777777" w:rsidR="00484771" w:rsidRPr="001467A8" w:rsidRDefault="00484771" w:rsidP="001467A8">
            <w:pPr>
              <w:rPr>
                <w:rFonts w:ascii="Arial" w:hAnsi="Arial" w:cs="Arial"/>
                <w:sz w:val="22"/>
                <w:szCs w:val="22"/>
              </w:rPr>
            </w:pPr>
            <w:r w:rsidRPr="001467A8">
              <w:rPr>
                <w:rFonts w:ascii="Arial" w:hAnsi="Arial" w:cs="Arial"/>
                <w:sz w:val="22"/>
                <w:szCs w:val="22"/>
              </w:rPr>
              <w:t>3:00 p.m. Central</w:t>
            </w:r>
            <w:r w:rsidR="00B41A25" w:rsidRPr="001467A8">
              <w:rPr>
                <w:rFonts w:ascii="Arial" w:hAnsi="Arial" w:cs="Arial"/>
                <w:sz w:val="22"/>
                <w:szCs w:val="22"/>
              </w:rPr>
              <w:t xml:space="preserve"> T</w:t>
            </w:r>
            <w:r w:rsidRPr="001467A8">
              <w:rPr>
                <w:rFonts w:ascii="Arial" w:hAnsi="Arial" w:cs="Arial"/>
                <w:sz w:val="22"/>
                <w:szCs w:val="22"/>
              </w:rPr>
              <w:t xml:space="preserve">ime on </w:t>
            </w:r>
            <w:r w:rsidR="00BC216A" w:rsidRPr="001467A8">
              <w:rPr>
                <w:rFonts w:ascii="Arial" w:hAnsi="Arial" w:cs="Arial"/>
                <w:sz w:val="22"/>
                <w:szCs w:val="22"/>
              </w:rPr>
              <w:t>0</w:t>
            </w:r>
            <w:r w:rsidR="001467A8" w:rsidRPr="001467A8">
              <w:rPr>
                <w:rFonts w:ascii="Arial" w:hAnsi="Arial" w:cs="Arial"/>
                <w:sz w:val="22"/>
                <w:szCs w:val="22"/>
              </w:rPr>
              <w:t>6</w:t>
            </w:r>
            <w:r w:rsidR="00BC216A" w:rsidRPr="001467A8">
              <w:rPr>
                <w:rFonts w:ascii="Arial" w:hAnsi="Arial" w:cs="Arial"/>
                <w:sz w:val="22"/>
                <w:szCs w:val="22"/>
              </w:rPr>
              <w:t>/</w:t>
            </w:r>
            <w:r w:rsidR="007347BF">
              <w:rPr>
                <w:rFonts w:ascii="Arial" w:hAnsi="Arial" w:cs="Arial"/>
                <w:sz w:val="22"/>
                <w:szCs w:val="22"/>
              </w:rPr>
              <w:t>22</w:t>
            </w:r>
            <w:r w:rsidR="000431B0" w:rsidRPr="001467A8">
              <w:rPr>
                <w:rFonts w:ascii="Arial" w:hAnsi="Arial" w:cs="Arial"/>
                <w:sz w:val="22"/>
                <w:szCs w:val="22"/>
              </w:rPr>
              <w:t>/17</w:t>
            </w:r>
          </w:p>
        </w:tc>
      </w:tr>
      <w:tr w:rsidR="00484771" w:rsidRPr="00883216" w14:paraId="6DF73C41" w14:textId="77777777" w:rsidTr="00484771">
        <w:tc>
          <w:tcPr>
            <w:tcW w:w="4596" w:type="dxa"/>
          </w:tcPr>
          <w:p w14:paraId="7E034BFF"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Deadline for Questions Answered and Posted to ITS Web Site</w:t>
            </w:r>
          </w:p>
        </w:tc>
        <w:tc>
          <w:tcPr>
            <w:tcW w:w="2442" w:type="dxa"/>
          </w:tcPr>
          <w:p w14:paraId="5F876D38" w14:textId="77777777" w:rsidR="00484771" w:rsidRPr="001467A8" w:rsidRDefault="00484771" w:rsidP="00484771">
            <w:pPr>
              <w:jc w:val="both"/>
              <w:rPr>
                <w:rFonts w:ascii="Arial" w:hAnsi="Arial" w:cs="Arial"/>
                <w:sz w:val="22"/>
                <w:szCs w:val="22"/>
              </w:rPr>
            </w:pPr>
          </w:p>
          <w:p w14:paraId="6975F9A6" w14:textId="77777777" w:rsidR="00484771" w:rsidRPr="001467A8" w:rsidRDefault="007347BF" w:rsidP="00E9611B">
            <w:pPr>
              <w:jc w:val="both"/>
              <w:rPr>
                <w:rFonts w:ascii="Arial" w:hAnsi="Arial" w:cs="Arial"/>
                <w:sz w:val="22"/>
                <w:szCs w:val="22"/>
              </w:rPr>
            </w:pPr>
            <w:r>
              <w:rPr>
                <w:rFonts w:ascii="Arial" w:hAnsi="Arial" w:cs="Arial"/>
                <w:sz w:val="22"/>
                <w:szCs w:val="22"/>
              </w:rPr>
              <w:t>07/07</w:t>
            </w:r>
            <w:r w:rsidR="001467A8" w:rsidRPr="001467A8">
              <w:rPr>
                <w:rFonts w:ascii="Arial" w:hAnsi="Arial" w:cs="Arial"/>
                <w:sz w:val="22"/>
                <w:szCs w:val="22"/>
              </w:rPr>
              <w:t>/17</w:t>
            </w:r>
          </w:p>
        </w:tc>
      </w:tr>
      <w:tr w:rsidR="00484771" w:rsidRPr="00883216" w14:paraId="7182C2AD" w14:textId="77777777" w:rsidTr="00484771">
        <w:tc>
          <w:tcPr>
            <w:tcW w:w="4596" w:type="dxa"/>
          </w:tcPr>
          <w:p w14:paraId="40CF797B"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Open Proposals</w:t>
            </w:r>
          </w:p>
        </w:tc>
        <w:tc>
          <w:tcPr>
            <w:tcW w:w="2442" w:type="dxa"/>
          </w:tcPr>
          <w:p w14:paraId="727444DD" w14:textId="77777777" w:rsidR="00484771" w:rsidRPr="001467A8" w:rsidRDefault="007347BF" w:rsidP="00E9611B">
            <w:pPr>
              <w:jc w:val="both"/>
              <w:rPr>
                <w:rFonts w:ascii="Arial" w:hAnsi="Arial" w:cs="Arial"/>
                <w:sz w:val="22"/>
                <w:szCs w:val="22"/>
              </w:rPr>
            </w:pPr>
            <w:r>
              <w:rPr>
                <w:rFonts w:ascii="Arial" w:hAnsi="Arial" w:cs="Arial"/>
                <w:sz w:val="22"/>
                <w:szCs w:val="22"/>
              </w:rPr>
              <w:t>08/08</w:t>
            </w:r>
            <w:r w:rsidR="001467A8" w:rsidRPr="001467A8">
              <w:rPr>
                <w:rFonts w:ascii="Arial" w:hAnsi="Arial" w:cs="Arial"/>
                <w:sz w:val="22"/>
                <w:szCs w:val="22"/>
              </w:rPr>
              <w:t>/17</w:t>
            </w:r>
          </w:p>
        </w:tc>
      </w:tr>
      <w:tr w:rsidR="00484771" w:rsidRPr="00883216" w14:paraId="6350C520" w14:textId="77777777" w:rsidTr="00484771">
        <w:tc>
          <w:tcPr>
            <w:tcW w:w="4596" w:type="dxa"/>
          </w:tcPr>
          <w:p w14:paraId="4073525F"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Evaluation of Proposals</w:t>
            </w:r>
          </w:p>
        </w:tc>
        <w:tc>
          <w:tcPr>
            <w:tcW w:w="2442" w:type="dxa"/>
          </w:tcPr>
          <w:p w14:paraId="232BD32A" w14:textId="77777777" w:rsidR="00484771" w:rsidRPr="001467A8" w:rsidRDefault="000431B0" w:rsidP="001467A8">
            <w:pPr>
              <w:jc w:val="both"/>
              <w:rPr>
                <w:rFonts w:ascii="Arial" w:hAnsi="Arial" w:cs="Arial"/>
                <w:sz w:val="22"/>
                <w:szCs w:val="22"/>
              </w:rPr>
            </w:pPr>
            <w:r w:rsidRPr="001467A8">
              <w:rPr>
                <w:rFonts w:ascii="Arial" w:hAnsi="Arial" w:cs="Arial"/>
                <w:sz w:val="22"/>
                <w:szCs w:val="22"/>
              </w:rPr>
              <w:t>Beg</w:t>
            </w:r>
            <w:r w:rsidR="00B64B16" w:rsidRPr="001467A8">
              <w:rPr>
                <w:rFonts w:ascii="Arial" w:hAnsi="Arial" w:cs="Arial"/>
                <w:sz w:val="22"/>
                <w:szCs w:val="22"/>
              </w:rPr>
              <w:t xml:space="preserve">ins </w:t>
            </w:r>
            <w:r w:rsidR="007347BF">
              <w:rPr>
                <w:rFonts w:ascii="Arial" w:hAnsi="Arial" w:cs="Arial"/>
                <w:sz w:val="22"/>
                <w:szCs w:val="22"/>
              </w:rPr>
              <w:t>08/08</w:t>
            </w:r>
            <w:r w:rsidR="001467A8" w:rsidRPr="001467A8">
              <w:rPr>
                <w:rFonts w:ascii="Arial" w:hAnsi="Arial" w:cs="Arial"/>
                <w:sz w:val="22"/>
                <w:szCs w:val="22"/>
              </w:rPr>
              <w:t>/17</w:t>
            </w:r>
          </w:p>
        </w:tc>
      </w:tr>
      <w:tr w:rsidR="00484771" w:rsidRPr="00883216" w14:paraId="18169D3C" w14:textId="77777777" w:rsidTr="00484771">
        <w:tc>
          <w:tcPr>
            <w:tcW w:w="4596" w:type="dxa"/>
          </w:tcPr>
          <w:p w14:paraId="2CA758C8"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Contract Negotiation</w:t>
            </w:r>
          </w:p>
        </w:tc>
        <w:tc>
          <w:tcPr>
            <w:tcW w:w="2442" w:type="dxa"/>
          </w:tcPr>
          <w:p w14:paraId="2B05C9AC" w14:textId="77777777" w:rsidR="00484771" w:rsidRPr="001467A8" w:rsidRDefault="007347BF" w:rsidP="001467A8">
            <w:pPr>
              <w:jc w:val="both"/>
              <w:rPr>
                <w:rFonts w:ascii="Arial" w:hAnsi="Arial" w:cs="Arial"/>
                <w:sz w:val="22"/>
                <w:szCs w:val="22"/>
              </w:rPr>
            </w:pPr>
            <w:r>
              <w:rPr>
                <w:rFonts w:ascii="Arial" w:hAnsi="Arial" w:cs="Arial"/>
                <w:sz w:val="22"/>
                <w:szCs w:val="22"/>
              </w:rPr>
              <w:t>08/08/17 – 09/29</w:t>
            </w:r>
            <w:r w:rsidR="001467A8" w:rsidRPr="001467A8">
              <w:rPr>
                <w:rFonts w:ascii="Arial" w:hAnsi="Arial" w:cs="Arial"/>
                <w:sz w:val="22"/>
                <w:szCs w:val="22"/>
              </w:rPr>
              <w:t>/17</w:t>
            </w:r>
          </w:p>
        </w:tc>
      </w:tr>
      <w:tr w:rsidR="00484771" w:rsidRPr="00883216" w14:paraId="42FE7853" w14:textId="77777777" w:rsidTr="00484771">
        <w:tc>
          <w:tcPr>
            <w:tcW w:w="4596" w:type="dxa"/>
          </w:tcPr>
          <w:p w14:paraId="369AC0CB"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Proposed Project Implementation Start-up</w:t>
            </w:r>
          </w:p>
        </w:tc>
        <w:tc>
          <w:tcPr>
            <w:tcW w:w="2442" w:type="dxa"/>
          </w:tcPr>
          <w:p w14:paraId="69E2F5D9" w14:textId="77777777" w:rsidR="00484771" w:rsidRPr="001467A8" w:rsidRDefault="001467A8" w:rsidP="00E9611B">
            <w:pPr>
              <w:jc w:val="both"/>
              <w:rPr>
                <w:rFonts w:ascii="Arial" w:hAnsi="Arial" w:cs="Arial"/>
                <w:sz w:val="22"/>
                <w:szCs w:val="22"/>
              </w:rPr>
            </w:pPr>
            <w:r w:rsidRPr="001467A8">
              <w:rPr>
                <w:rFonts w:ascii="Arial" w:hAnsi="Arial" w:cs="Arial"/>
                <w:sz w:val="22"/>
                <w:szCs w:val="22"/>
              </w:rPr>
              <w:t>11/01/17</w:t>
            </w:r>
          </w:p>
        </w:tc>
      </w:tr>
      <w:tr w:rsidR="00484771" w:rsidRPr="00883216" w14:paraId="07BA8CAC" w14:textId="77777777" w:rsidTr="00484771">
        <w:tc>
          <w:tcPr>
            <w:tcW w:w="4596" w:type="dxa"/>
          </w:tcPr>
          <w:p w14:paraId="375AD09C" w14:textId="77777777" w:rsidR="00484771" w:rsidRPr="00883216" w:rsidRDefault="00484771" w:rsidP="00484771">
            <w:pPr>
              <w:jc w:val="both"/>
              <w:rPr>
                <w:rFonts w:ascii="Arial" w:hAnsi="Arial" w:cs="Arial"/>
                <w:sz w:val="22"/>
                <w:szCs w:val="22"/>
              </w:rPr>
            </w:pPr>
            <w:r w:rsidRPr="00883216">
              <w:rPr>
                <w:rFonts w:ascii="Arial" w:hAnsi="Arial" w:cs="Arial"/>
                <w:sz w:val="22"/>
                <w:szCs w:val="22"/>
              </w:rPr>
              <w:t>Project Go-Live Deadline</w:t>
            </w:r>
          </w:p>
        </w:tc>
        <w:tc>
          <w:tcPr>
            <w:tcW w:w="2442" w:type="dxa"/>
          </w:tcPr>
          <w:p w14:paraId="3201BCF3" w14:textId="77777777" w:rsidR="00484771" w:rsidRPr="001467A8" w:rsidRDefault="007347BF" w:rsidP="00883216">
            <w:pPr>
              <w:jc w:val="both"/>
              <w:rPr>
                <w:rFonts w:ascii="Arial" w:hAnsi="Arial" w:cs="Arial"/>
                <w:sz w:val="22"/>
                <w:szCs w:val="22"/>
              </w:rPr>
            </w:pPr>
            <w:r>
              <w:rPr>
                <w:rFonts w:ascii="Arial" w:hAnsi="Arial" w:cs="Arial"/>
                <w:sz w:val="22"/>
                <w:szCs w:val="22"/>
              </w:rPr>
              <w:t>03/3</w:t>
            </w:r>
            <w:r w:rsidR="00BC216A" w:rsidRPr="001467A8">
              <w:rPr>
                <w:rFonts w:ascii="Arial" w:hAnsi="Arial" w:cs="Arial"/>
                <w:sz w:val="22"/>
                <w:szCs w:val="22"/>
              </w:rPr>
              <w:t>1/1</w:t>
            </w:r>
            <w:r w:rsidR="001467A8" w:rsidRPr="001467A8">
              <w:rPr>
                <w:rFonts w:ascii="Arial" w:hAnsi="Arial" w:cs="Arial"/>
                <w:sz w:val="22"/>
                <w:szCs w:val="22"/>
              </w:rPr>
              <w:t>8</w:t>
            </w:r>
          </w:p>
        </w:tc>
      </w:tr>
    </w:tbl>
    <w:p w14:paraId="1AB36686" w14:textId="77777777" w:rsidR="00BF6B07" w:rsidRPr="003560BD" w:rsidRDefault="00BF6B07" w:rsidP="00883216">
      <w:pPr>
        <w:spacing w:after="240"/>
        <w:jc w:val="both"/>
        <w:rPr>
          <w:rFonts w:ascii="Arial" w:hAnsi="Arial" w:cs="Arial"/>
          <w:sz w:val="22"/>
          <w:szCs w:val="22"/>
          <w:highlight w:val="yellow"/>
        </w:rPr>
      </w:pPr>
    </w:p>
    <w:p w14:paraId="6F70D375" w14:textId="77777777" w:rsidR="00BF6B07" w:rsidRPr="003560BD" w:rsidRDefault="00BF6B07" w:rsidP="00BF6B07">
      <w:pPr>
        <w:jc w:val="both"/>
        <w:rPr>
          <w:rFonts w:ascii="Arial" w:hAnsi="Arial" w:cs="Arial"/>
          <w:sz w:val="22"/>
          <w:szCs w:val="22"/>
          <w:highlight w:val="yellow"/>
        </w:rPr>
      </w:pPr>
    </w:p>
    <w:p w14:paraId="566D12DC" w14:textId="77777777" w:rsidR="00BF6B07" w:rsidRDefault="00BF6B07" w:rsidP="00BF6B07">
      <w:pPr>
        <w:jc w:val="both"/>
        <w:rPr>
          <w:rFonts w:ascii="Arial" w:hAnsi="Arial" w:cs="Arial"/>
          <w:sz w:val="22"/>
          <w:szCs w:val="22"/>
          <w:highlight w:val="yellow"/>
        </w:rPr>
      </w:pPr>
    </w:p>
    <w:p w14:paraId="3179565E" w14:textId="77777777" w:rsidR="00460508" w:rsidRDefault="00460508" w:rsidP="00BF6B07">
      <w:pPr>
        <w:jc w:val="both"/>
        <w:rPr>
          <w:rFonts w:ascii="Arial" w:hAnsi="Arial" w:cs="Arial"/>
          <w:sz w:val="22"/>
          <w:szCs w:val="22"/>
          <w:highlight w:val="yellow"/>
        </w:rPr>
      </w:pPr>
    </w:p>
    <w:p w14:paraId="16F322D3" w14:textId="77777777" w:rsidR="00460508" w:rsidRDefault="00460508" w:rsidP="00BF6B07">
      <w:pPr>
        <w:jc w:val="both"/>
        <w:rPr>
          <w:rFonts w:ascii="Arial" w:hAnsi="Arial" w:cs="Arial"/>
          <w:sz w:val="22"/>
          <w:szCs w:val="22"/>
          <w:highlight w:val="yellow"/>
        </w:rPr>
      </w:pPr>
    </w:p>
    <w:p w14:paraId="088BC7DB" w14:textId="77777777" w:rsidR="00460508" w:rsidRDefault="00460508" w:rsidP="00BF6B07">
      <w:pPr>
        <w:jc w:val="both"/>
        <w:rPr>
          <w:rFonts w:ascii="Arial" w:hAnsi="Arial" w:cs="Arial"/>
          <w:sz w:val="22"/>
          <w:szCs w:val="22"/>
          <w:highlight w:val="yellow"/>
        </w:rPr>
      </w:pPr>
    </w:p>
    <w:p w14:paraId="757ECFCE" w14:textId="77777777" w:rsidR="00460508" w:rsidRDefault="00460508" w:rsidP="00BF6B07">
      <w:pPr>
        <w:jc w:val="both"/>
        <w:rPr>
          <w:rFonts w:ascii="Arial" w:hAnsi="Arial" w:cs="Arial"/>
          <w:sz w:val="22"/>
          <w:szCs w:val="22"/>
          <w:highlight w:val="yellow"/>
        </w:rPr>
      </w:pPr>
    </w:p>
    <w:p w14:paraId="1CF71B55" w14:textId="77777777" w:rsidR="00460508" w:rsidRDefault="00460508" w:rsidP="00BF6B07">
      <w:pPr>
        <w:jc w:val="both"/>
        <w:rPr>
          <w:rFonts w:ascii="Arial" w:hAnsi="Arial" w:cs="Arial"/>
          <w:sz w:val="22"/>
          <w:szCs w:val="22"/>
          <w:highlight w:val="yellow"/>
        </w:rPr>
      </w:pPr>
    </w:p>
    <w:p w14:paraId="4EE04B58" w14:textId="77777777" w:rsidR="00460508" w:rsidRDefault="00460508" w:rsidP="00BF6B07">
      <w:pPr>
        <w:jc w:val="both"/>
        <w:rPr>
          <w:rFonts w:ascii="Arial" w:hAnsi="Arial" w:cs="Arial"/>
          <w:sz w:val="22"/>
          <w:szCs w:val="22"/>
          <w:highlight w:val="yellow"/>
        </w:rPr>
      </w:pPr>
    </w:p>
    <w:p w14:paraId="0DB7430B" w14:textId="77777777" w:rsidR="00460508" w:rsidRDefault="00460508" w:rsidP="00BF6B07">
      <w:pPr>
        <w:jc w:val="both"/>
        <w:rPr>
          <w:rFonts w:ascii="Arial" w:hAnsi="Arial" w:cs="Arial"/>
          <w:sz w:val="22"/>
          <w:szCs w:val="22"/>
          <w:highlight w:val="yellow"/>
        </w:rPr>
      </w:pPr>
    </w:p>
    <w:p w14:paraId="4A93A8D4" w14:textId="77777777" w:rsidR="00460508" w:rsidRDefault="00460508" w:rsidP="00BF6B07">
      <w:pPr>
        <w:jc w:val="both"/>
        <w:rPr>
          <w:rFonts w:ascii="Arial" w:hAnsi="Arial" w:cs="Arial"/>
          <w:sz w:val="22"/>
          <w:szCs w:val="22"/>
          <w:highlight w:val="yellow"/>
        </w:rPr>
      </w:pPr>
    </w:p>
    <w:p w14:paraId="1DC0B0D3" w14:textId="77777777" w:rsidR="00460508" w:rsidRDefault="00460508" w:rsidP="00BF6B07">
      <w:pPr>
        <w:jc w:val="both"/>
        <w:rPr>
          <w:rFonts w:ascii="Arial" w:hAnsi="Arial" w:cs="Arial"/>
          <w:sz w:val="22"/>
          <w:szCs w:val="22"/>
          <w:highlight w:val="yellow"/>
        </w:rPr>
      </w:pPr>
    </w:p>
    <w:p w14:paraId="044C4009" w14:textId="77777777" w:rsidR="00460508" w:rsidRDefault="00460508" w:rsidP="00BF6B07">
      <w:pPr>
        <w:jc w:val="both"/>
        <w:rPr>
          <w:rFonts w:ascii="Arial" w:hAnsi="Arial" w:cs="Arial"/>
          <w:sz w:val="22"/>
          <w:szCs w:val="22"/>
          <w:highlight w:val="yellow"/>
        </w:rPr>
      </w:pPr>
    </w:p>
    <w:p w14:paraId="7C414147" w14:textId="77777777" w:rsidR="00460508" w:rsidRDefault="00460508" w:rsidP="00BF6B07">
      <w:pPr>
        <w:jc w:val="both"/>
        <w:rPr>
          <w:rFonts w:ascii="Arial" w:hAnsi="Arial" w:cs="Arial"/>
          <w:sz w:val="22"/>
          <w:szCs w:val="22"/>
          <w:highlight w:val="yellow"/>
        </w:rPr>
      </w:pPr>
    </w:p>
    <w:p w14:paraId="6E7240D8" w14:textId="77777777" w:rsidR="00460508" w:rsidRPr="003560BD" w:rsidRDefault="00460508" w:rsidP="00BF6B07">
      <w:pPr>
        <w:jc w:val="both"/>
        <w:rPr>
          <w:rFonts w:ascii="Arial" w:hAnsi="Arial" w:cs="Arial"/>
          <w:sz w:val="22"/>
          <w:szCs w:val="22"/>
          <w:highlight w:val="yellow"/>
        </w:rPr>
      </w:pPr>
    </w:p>
    <w:p w14:paraId="302E88A5"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lastRenderedPageBreak/>
        <w:t>Statement of Understanding</w:t>
      </w:r>
    </w:p>
    <w:p w14:paraId="043CE442" w14:textId="77777777" w:rsidR="00230581" w:rsidRPr="003560BD" w:rsidRDefault="00230581" w:rsidP="000825FA">
      <w:pPr>
        <w:pStyle w:val="Level2"/>
      </w:pPr>
      <w:r w:rsidRPr="003560BD">
        <w:t>Vendors may request additional information or clarifications to this RFP using the following procedure:</w:t>
      </w:r>
    </w:p>
    <w:p w14:paraId="2F0D61F0" w14:textId="77777777" w:rsidR="00230581" w:rsidRPr="003560BD" w:rsidRDefault="00230581" w:rsidP="000825FA">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2F73033D" w14:textId="77777777" w:rsidR="00230581" w:rsidRPr="00037393" w:rsidRDefault="00230581" w:rsidP="000825FA">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D90D4F">
        <w:rPr>
          <w:rFonts w:ascii="Arial" w:hAnsi="Arial" w:cs="Arial"/>
          <w:sz w:val="22"/>
          <w:szCs w:val="22"/>
        </w:rPr>
        <w:t>Michelle Smith</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7347BF">
        <w:rPr>
          <w:rFonts w:ascii="Arial" w:hAnsi="Arial" w:cs="Arial"/>
          <w:sz w:val="22"/>
          <w:szCs w:val="22"/>
        </w:rPr>
        <w:t>June 22</w:t>
      </w:r>
      <w:r w:rsidR="009605B9" w:rsidRPr="00037393">
        <w:rPr>
          <w:rFonts w:ascii="Arial" w:hAnsi="Arial" w:cs="Arial"/>
          <w:sz w:val="22"/>
          <w:szCs w:val="22"/>
        </w:rPr>
        <w:t>, 2017</w:t>
      </w:r>
      <w:r w:rsidR="001467A8">
        <w:rPr>
          <w:rFonts w:ascii="Arial" w:hAnsi="Arial" w:cs="Arial"/>
          <w:sz w:val="22"/>
          <w:szCs w:val="22"/>
        </w:rPr>
        <w:t xml:space="preserve"> at 3:00 p.m. Central Time.</w:t>
      </w:r>
      <w:r w:rsidRPr="00037393">
        <w:rPr>
          <w:rFonts w:ascii="Arial" w:hAnsi="Arial" w:cs="Arial"/>
          <w:sz w:val="22"/>
          <w:szCs w:val="22"/>
        </w:rPr>
        <w:t xml:space="preserve"> This document may be delivered by hand, mail, email, or fax.  Address information is </w:t>
      </w:r>
      <w:r w:rsidR="001467A8">
        <w:rPr>
          <w:rFonts w:ascii="Arial" w:hAnsi="Arial" w:cs="Arial"/>
          <w:sz w:val="22"/>
          <w:szCs w:val="22"/>
        </w:rPr>
        <w:t xml:space="preserve">given on page one of this RFP. </w:t>
      </w:r>
      <w:r w:rsidRPr="00037393">
        <w:rPr>
          <w:rFonts w:ascii="Arial" w:hAnsi="Arial" w:cs="Arial"/>
          <w:sz w:val="22"/>
          <w:szCs w:val="22"/>
        </w:rPr>
        <w:t>The fax number is (601) 71</w:t>
      </w:r>
      <w:r w:rsidR="001467A8">
        <w:rPr>
          <w:rFonts w:ascii="Arial" w:hAnsi="Arial" w:cs="Arial"/>
          <w:sz w:val="22"/>
          <w:szCs w:val="22"/>
        </w:rPr>
        <w:t>3-6380.</w:t>
      </w:r>
      <w:r w:rsidRPr="00037393">
        <w:rPr>
          <w:rFonts w:ascii="Arial" w:hAnsi="Arial" w:cs="Arial"/>
          <w:sz w:val="22"/>
          <w:szCs w:val="22"/>
        </w:rPr>
        <w:t xml:space="preserve"> </w:t>
      </w:r>
      <w:r w:rsidRPr="00037393">
        <w:rPr>
          <w:rFonts w:ascii="Arial" w:hAnsi="Arial" w:cs="Arial"/>
          <w:b/>
          <w:sz w:val="22"/>
          <w:szCs w:val="22"/>
        </w:rPr>
        <w:t>ITS WILL NOT BE RESPONSIBLE FOR DELAYS IN THE DELIVERY OF QUESTION DOCUMENTS</w:t>
      </w:r>
      <w:r w:rsidRPr="00037393">
        <w:rPr>
          <w:rFonts w:ascii="Arial" w:hAnsi="Arial" w:cs="Arial"/>
          <w:sz w:val="22"/>
          <w:szCs w:val="22"/>
        </w:rPr>
        <w:t xml:space="preserve">. It is solely the responsibility of the vendor that the clarification document reaches </w:t>
      </w:r>
      <w:r w:rsidRPr="00037393">
        <w:rPr>
          <w:rFonts w:ascii="Arial" w:hAnsi="Arial" w:cs="Arial"/>
          <w:b/>
          <w:sz w:val="22"/>
          <w:szCs w:val="22"/>
        </w:rPr>
        <w:t>ITS</w:t>
      </w:r>
      <w:r w:rsidRPr="00037393">
        <w:rPr>
          <w:rFonts w:ascii="Arial" w:hAnsi="Arial" w:cs="Arial"/>
          <w:sz w:val="22"/>
          <w:szCs w:val="22"/>
        </w:rPr>
        <w:t xml:space="preserve"> on time. Vendors may contact </w:t>
      </w:r>
      <w:r w:rsidR="00D90D4F" w:rsidRPr="00037393">
        <w:rPr>
          <w:rFonts w:ascii="Arial" w:hAnsi="Arial" w:cs="Arial"/>
          <w:sz w:val="22"/>
          <w:szCs w:val="22"/>
        </w:rPr>
        <w:t>Michelle Smith</w:t>
      </w:r>
      <w:r w:rsidRPr="00037393">
        <w:rPr>
          <w:rFonts w:ascii="Arial" w:hAnsi="Arial" w:cs="Arial"/>
          <w:sz w:val="22"/>
          <w:szCs w:val="22"/>
        </w:rPr>
        <w:t xml:space="preserve"> to verify the receipt of their document. Documents received after the deadline will be rejected.</w:t>
      </w:r>
    </w:p>
    <w:p w14:paraId="6A5006D6" w14:textId="77777777" w:rsidR="00230581" w:rsidRPr="00037393" w:rsidRDefault="00230581" w:rsidP="00635AD0">
      <w:pPr>
        <w:pStyle w:val="Level2"/>
      </w:pPr>
      <w:r w:rsidRPr="00037393">
        <w:t xml:space="preserve">All questions will be compiled and answered, and a written document containing all questions submitted and corresponding answers will be posted on the </w:t>
      </w:r>
      <w:r w:rsidRPr="00037393">
        <w:rPr>
          <w:b/>
        </w:rPr>
        <w:t>ITS</w:t>
      </w:r>
      <w:r w:rsidRPr="00037393">
        <w:t xml:space="preserve"> w</w:t>
      </w:r>
      <w:r w:rsidR="00B64B16" w:rsidRPr="00037393">
        <w:t xml:space="preserve">eb site by </w:t>
      </w:r>
      <w:r w:rsidR="00E9611B">
        <w:t xml:space="preserve">close of business on </w:t>
      </w:r>
      <w:r w:rsidR="007347BF">
        <w:t>July 7</w:t>
      </w:r>
      <w:r w:rsidR="001467A8">
        <w:t>, 2017</w:t>
      </w:r>
      <w:r w:rsidR="009605B9" w:rsidRPr="00037393">
        <w:t>.</w:t>
      </w:r>
    </w:p>
    <w:p w14:paraId="1B232B1E" w14:textId="77777777" w:rsidR="007A3D73" w:rsidRPr="00587D50" w:rsidRDefault="007A3D73" w:rsidP="007A3D73">
      <w:pPr>
        <w:pStyle w:val="Level1"/>
        <w:keepNext/>
        <w:jc w:val="both"/>
        <w:rPr>
          <w:rFonts w:ascii="Arial" w:hAnsi="Arial" w:cs="Arial"/>
          <w:b/>
          <w:bCs/>
          <w:sz w:val="22"/>
          <w:szCs w:val="22"/>
        </w:rPr>
      </w:pPr>
      <w:r w:rsidRPr="00587D50">
        <w:rPr>
          <w:rFonts w:ascii="Arial" w:hAnsi="Arial" w:cs="Arial"/>
          <w:b/>
          <w:bCs/>
          <w:sz w:val="22"/>
          <w:szCs w:val="22"/>
        </w:rPr>
        <w:t>Vendor Experience</w:t>
      </w:r>
    </w:p>
    <w:p w14:paraId="2F39DC8A" w14:textId="77777777" w:rsidR="007A3D73" w:rsidRPr="001B52A4" w:rsidRDefault="007A3D73" w:rsidP="007A3D73">
      <w:pPr>
        <w:pStyle w:val="Level2"/>
      </w:pPr>
      <w:r w:rsidRPr="001B52A4">
        <w:t>The Vendor must provide a corporate description with sufficient information to substantiate proven expertise in the products and services being requested in this RFP.</w:t>
      </w:r>
    </w:p>
    <w:p w14:paraId="59CE6E47" w14:textId="77777777" w:rsidR="007A3D73" w:rsidRPr="001B52A4" w:rsidRDefault="007A3D73" w:rsidP="007A3D73">
      <w:pPr>
        <w:pStyle w:val="Level2"/>
      </w:pPr>
      <w:r w:rsidRPr="001B52A4">
        <w:t>The Vendor must disclose any company restructurings, mergers, and acquisitions over the past five (5) years.</w:t>
      </w:r>
    </w:p>
    <w:p w14:paraId="5F6972F5" w14:textId="77777777" w:rsidR="007A3D73" w:rsidRPr="001B52A4" w:rsidRDefault="007A3D73" w:rsidP="007A3D73">
      <w:pPr>
        <w:pStyle w:val="Level2"/>
      </w:pPr>
      <w:r w:rsidRPr="001B52A4">
        <w:t>The Vendor must specify the location of the organization’s principal office and the number of executive and professional personnel employed at this office.</w:t>
      </w:r>
    </w:p>
    <w:p w14:paraId="6B6C00AF" w14:textId="77777777" w:rsidR="007A3D73" w:rsidRPr="001B52A4" w:rsidRDefault="007A3D73" w:rsidP="007A3D73">
      <w:pPr>
        <w:pStyle w:val="Level2"/>
      </w:pPr>
      <w:r w:rsidRPr="001B52A4">
        <w:t>The Vendor must state the number of years the Vendor has been providing the products and services being proposed.</w:t>
      </w:r>
    </w:p>
    <w:p w14:paraId="2963380E" w14:textId="77777777" w:rsidR="007A3D73" w:rsidRPr="001B52A4" w:rsidRDefault="007A3D73" w:rsidP="007A3D73">
      <w:pPr>
        <w:pStyle w:val="Level2"/>
      </w:pPr>
      <w:r w:rsidRPr="001B52A4">
        <w:t>The Vendor must specify the organization’s size in terms of the number of full-time employees, the number of contract personnel used at any one time, the number of offices and their locations, and structure (</w:t>
      </w:r>
      <w:r>
        <w:t>e.g.</w:t>
      </w:r>
      <w:r w:rsidRPr="001B52A4">
        <w:t xml:space="preserve"> state, national, or international organization).</w:t>
      </w:r>
    </w:p>
    <w:p w14:paraId="5E6A3BF0" w14:textId="77777777" w:rsidR="007A3D73" w:rsidRPr="001B52A4" w:rsidRDefault="007A3D73" w:rsidP="007A3D73">
      <w:pPr>
        <w:pStyle w:val="Level2"/>
      </w:pPr>
      <w:r w:rsidRPr="001B52A4">
        <w:t>The Vendor must provide the name and the state of incorporation, if incorporated.</w:t>
      </w:r>
    </w:p>
    <w:p w14:paraId="2C8A51A3" w14:textId="77777777" w:rsidR="007A3D73" w:rsidRPr="001B52A4" w:rsidRDefault="007A3D73" w:rsidP="007A3D73">
      <w:pPr>
        <w:pStyle w:val="Level2"/>
      </w:pPr>
      <w:r w:rsidRPr="001B52A4">
        <w:t>The Vendor must provide at least three (</w:t>
      </w:r>
      <w:r>
        <w:t>3</w:t>
      </w:r>
      <w:r w:rsidRPr="001B52A4">
        <w:t>) reference projects as described in Section IX. Vendor must briefly summarize the reference projects here and provide full detail in Section IX.</w:t>
      </w:r>
    </w:p>
    <w:p w14:paraId="516A9FD3" w14:textId="77777777" w:rsidR="007A3D73" w:rsidRPr="001B52A4" w:rsidRDefault="007A3D73" w:rsidP="007A3D73">
      <w:pPr>
        <w:pStyle w:val="Level2"/>
      </w:pPr>
      <w:r w:rsidRPr="001B52A4">
        <w:lastRenderedPageBreak/>
        <w:t>The Vendor must provide a copy of their company’s most recent annual report, including consolidated balance sheets and related statements of income, stockholders’ or partners’ equity and changes in financial position, for each of the five (5) fiscal years preceding the end of the most recent fiscal year. The financial information listed above should be compiled, reviewed, and/or audited by a Certified Public Accountant.</w:t>
      </w:r>
    </w:p>
    <w:p w14:paraId="028231AE" w14:textId="77777777" w:rsidR="007A3D73" w:rsidRDefault="007A3D73" w:rsidP="007A3D73">
      <w:pPr>
        <w:pStyle w:val="Level2"/>
      </w:pPr>
      <w:r w:rsidRPr="001B52A4">
        <w:t>Vendor must describe their standard system development and implementation methodology; the proposed approach for design, development, and implementation for this project; and any tailoring of their standard methodology anticipated for this project.</w:t>
      </w:r>
    </w:p>
    <w:p w14:paraId="57B89363" w14:textId="77777777" w:rsidR="007A3D73" w:rsidRPr="00587D50" w:rsidRDefault="007A3D73" w:rsidP="007A3D73">
      <w:pPr>
        <w:pStyle w:val="Level1"/>
        <w:jc w:val="both"/>
        <w:rPr>
          <w:rFonts w:ascii="Arial" w:hAnsi="Arial" w:cs="Arial"/>
          <w:b/>
          <w:bCs/>
          <w:sz w:val="22"/>
          <w:szCs w:val="22"/>
        </w:rPr>
      </w:pPr>
      <w:r>
        <w:rPr>
          <w:rFonts w:ascii="Arial" w:hAnsi="Arial" w:cs="Arial"/>
          <w:b/>
          <w:bCs/>
          <w:sz w:val="22"/>
          <w:szCs w:val="22"/>
        </w:rPr>
        <w:t>Project Management</w:t>
      </w:r>
    </w:p>
    <w:p w14:paraId="5EFB1921" w14:textId="77777777" w:rsidR="007A3D73" w:rsidRPr="001B52A4" w:rsidRDefault="007A3D73" w:rsidP="007A3D73">
      <w:pPr>
        <w:pStyle w:val="Level2"/>
      </w:pPr>
      <w:r w:rsidRPr="001B52A4">
        <w:t xml:space="preserve">Vendor must provide an organizational chart identifying </w:t>
      </w:r>
      <w:r>
        <w:t>the</w:t>
      </w:r>
      <w:r w:rsidRPr="001B52A4">
        <w:t xml:space="preserve"> proposed </w:t>
      </w:r>
      <w:r>
        <w:t>k</w:t>
      </w:r>
      <w:r w:rsidRPr="001B52A4">
        <w:t xml:space="preserve">ey </w:t>
      </w:r>
      <w:r>
        <w:t>p</w:t>
      </w:r>
      <w:r w:rsidRPr="001B52A4">
        <w:t xml:space="preserve">ersonnel for </w:t>
      </w:r>
      <w:r>
        <w:t>this project</w:t>
      </w:r>
      <w:r w:rsidRPr="001B52A4">
        <w:t>.</w:t>
      </w:r>
    </w:p>
    <w:p w14:paraId="61FFE180" w14:textId="77777777" w:rsidR="007A3D73" w:rsidRPr="0042099D" w:rsidRDefault="007A3D73" w:rsidP="007A3D73">
      <w:pPr>
        <w:pStyle w:val="Level2"/>
      </w:pPr>
      <w:r w:rsidRPr="0042099D">
        <w:t>Vendor must commit a dedicated Project Manager for the duration</w:t>
      </w:r>
      <w:r w:rsidR="00477EF3">
        <w:t xml:space="preserve"> of the project implementation. </w:t>
      </w:r>
      <w:r w:rsidRPr="0042099D">
        <w:t>The Project Manager must have sufficient prior experience to address</w:t>
      </w:r>
      <w:r w:rsidR="00477EF3">
        <w:t xml:space="preserve"> the specifics of this project.</w:t>
      </w:r>
    </w:p>
    <w:p w14:paraId="307AD586" w14:textId="77777777" w:rsidR="007A3D73" w:rsidRPr="0042099D" w:rsidRDefault="007A3D73" w:rsidP="007A3D73">
      <w:pPr>
        <w:pStyle w:val="Level2"/>
      </w:pPr>
      <w:r w:rsidRPr="0042099D">
        <w:t>The Project Manager must be name</w:t>
      </w:r>
      <w:r w:rsidR="00477EF3">
        <w:t>d in the Vendor’s RFP response.</w:t>
      </w:r>
    </w:p>
    <w:p w14:paraId="735E5057" w14:textId="77777777" w:rsidR="007A3D73" w:rsidRPr="0042099D" w:rsidRDefault="007A3D73" w:rsidP="007A3D73">
      <w:pPr>
        <w:pStyle w:val="Level2"/>
      </w:pPr>
      <w:r w:rsidRPr="0042099D">
        <w:t xml:space="preserve">Vendor must submit, as a part of this proposal, a high-level Project Work Plan that outlines the overall strategy and approach to providing the requested </w:t>
      </w:r>
      <w:r>
        <w:t>s</w:t>
      </w:r>
      <w:r w:rsidR="00477EF3">
        <w:t>ystem and services.</w:t>
      </w:r>
    </w:p>
    <w:p w14:paraId="043D1192" w14:textId="77777777" w:rsidR="007A3D73" w:rsidRPr="0042099D" w:rsidRDefault="007A3D73" w:rsidP="007A3D73">
      <w:pPr>
        <w:pStyle w:val="Level3"/>
        <w:tabs>
          <w:tab w:val="clear" w:pos="1800"/>
          <w:tab w:val="num" w:pos="2160"/>
        </w:tabs>
        <w:ind w:left="2880" w:hanging="1080"/>
        <w:jc w:val="both"/>
        <w:rPr>
          <w:rFonts w:ascii="Arial" w:hAnsi="Arial" w:cs="Arial"/>
          <w:sz w:val="22"/>
          <w:szCs w:val="22"/>
        </w:rPr>
      </w:pPr>
      <w:r w:rsidRPr="0042099D">
        <w:rPr>
          <w:rFonts w:ascii="Arial" w:hAnsi="Arial" w:cs="Arial"/>
          <w:sz w:val="22"/>
          <w:szCs w:val="22"/>
        </w:rPr>
        <w:t>The Plan must incorporate all tasks to be accomplished;</w:t>
      </w:r>
    </w:p>
    <w:p w14:paraId="35D7BA2C" w14:textId="77777777" w:rsidR="007A3D73" w:rsidRPr="0042099D" w:rsidRDefault="007A3D73" w:rsidP="007A3D73">
      <w:pPr>
        <w:pStyle w:val="Level3"/>
        <w:tabs>
          <w:tab w:val="clear" w:pos="1800"/>
          <w:tab w:val="num" w:pos="2160"/>
        </w:tabs>
        <w:ind w:left="2880" w:hanging="1080"/>
        <w:jc w:val="both"/>
        <w:rPr>
          <w:rFonts w:ascii="Arial" w:hAnsi="Arial" w:cs="Arial"/>
          <w:sz w:val="22"/>
          <w:szCs w:val="22"/>
        </w:rPr>
      </w:pPr>
      <w:r w:rsidRPr="0042099D">
        <w:rPr>
          <w:rFonts w:ascii="Arial" w:hAnsi="Arial" w:cs="Arial"/>
          <w:sz w:val="22"/>
          <w:szCs w:val="22"/>
        </w:rPr>
        <w:t xml:space="preserve">The Plan must address all project deliverables, including implementation, acceptance testing, schedule for actual testing and go-live date; </w:t>
      </w:r>
    </w:p>
    <w:p w14:paraId="300E034D" w14:textId="77777777" w:rsidR="007A3D73" w:rsidRPr="0042099D" w:rsidRDefault="007A3D73" w:rsidP="007A3D73">
      <w:pPr>
        <w:pStyle w:val="Level2"/>
      </w:pPr>
      <w:r w:rsidRPr="0042099D">
        <w:t>Upon contract award, the Vendor’s Project Manager must work with the Agency to develop a more detailed Project Work Plan to guide the System’s implementation.</w:t>
      </w:r>
    </w:p>
    <w:p w14:paraId="24A1683B" w14:textId="77777777" w:rsidR="007A3D73" w:rsidRPr="0042099D" w:rsidRDefault="007A3D73" w:rsidP="007A3D73">
      <w:pPr>
        <w:pStyle w:val="Level2"/>
      </w:pPr>
      <w:r w:rsidRPr="0042099D">
        <w:t>The Vendor must describe his change order and staffing strategy under the following circumstances.</w:t>
      </w:r>
    </w:p>
    <w:p w14:paraId="5F286F4E" w14:textId="77777777" w:rsidR="007A3D73" w:rsidRPr="0042099D" w:rsidRDefault="007A3D73" w:rsidP="007A3D73">
      <w:pPr>
        <w:pStyle w:val="Level3"/>
        <w:tabs>
          <w:tab w:val="clear" w:pos="1800"/>
          <w:tab w:val="num" w:pos="2160"/>
        </w:tabs>
        <w:ind w:left="2880" w:hanging="1080"/>
        <w:jc w:val="both"/>
        <w:rPr>
          <w:rFonts w:ascii="Arial" w:hAnsi="Arial" w:cs="Arial"/>
          <w:sz w:val="22"/>
          <w:szCs w:val="22"/>
        </w:rPr>
      </w:pPr>
      <w:r w:rsidRPr="0042099D">
        <w:rPr>
          <w:rFonts w:ascii="Arial" w:hAnsi="Arial" w:cs="Arial"/>
          <w:sz w:val="22"/>
          <w:szCs w:val="22"/>
        </w:rPr>
        <w:t>The Vendor must describe his change order</w:t>
      </w:r>
      <w:r>
        <w:rPr>
          <w:rFonts w:ascii="Arial" w:hAnsi="Arial" w:cs="Arial"/>
          <w:sz w:val="22"/>
          <w:szCs w:val="22"/>
        </w:rPr>
        <w:t xml:space="preserve"> rate</w:t>
      </w:r>
      <w:r w:rsidRPr="0042099D">
        <w:rPr>
          <w:rFonts w:ascii="Arial" w:hAnsi="Arial" w:cs="Arial"/>
          <w:sz w:val="22"/>
          <w:szCs w:val="22"/>
        </w:rPr>
        <w:t xml:space="preserve"> and staffing strategy when a customer requires additional functionality that may be within the capability of the proposed system’s existing programming, after the initial system acceptance.</w:t>
      </w:r>
    </w:p>
    <w:p w14:paraId="2D42F54E" w14:textId="77777777" w:rsidR="007A3D73" w:rsidRPr="003560BD" w:rsidRDefault="007A3D73" w:rsidP="00EE78DC">
      <w:pPr>
        <w:pStyle w:val="Level3"/>
        <w:tabs>
          <w:tab w:val="clear" w:pos="1800"/>
          <w:tab w:val="num" w:pos="2160"/>
        </w:tabs>
        <w:ind w:left="2880" w:hanging="1080"/>
        <w:jc w:val="both"/>
      </w:pPr>
      <w:r w:rsidRPr="0042099D">
        <w:rPr>
          <w:rFonts w:ascii="Arial" w:hAnsi="Arial" w:cs="Arial"/>
          <w:sz w:val="22"/>
          <w:szCs w:val="22"/>
        </w:rPr>
        <w:t>The Vendor must describe his change order</w:t>
      </w:r>
      <w:r>
        <w:rPr>
          <w:rFonts w:ascii="Arial" w:hAnsi="Arial" w:cs="Arial"/>
          <w:sz w:val="22"/>
          <w:szCs w:val="22"/>
        </w:rPr>
        <w:t xml:space="preserve"> rate</w:t>
      </w:r>
      <w:r w:rsidRPr="0042099D">
        <w:rPr>
          <w:rFonts w:ascii="Arial" w:hAnsi="Arial" w:cs="Arial"/>
          <w:sz w:val="22"/>
          <w:szCs w:val="22"/>
        </w:rPr>
        <w:t xml:space="preserve"> and staffing strategy when a customer requires additional functionality that may require modification of the proposed system’s programmed code and/or the addition of new programming, after initial system acceptance.</w:t>
      </w:r>
    </w:p>
    <w:p w14:paraId="7CC96F60" w14:textId="77777777" w:rsidR="00BF6B07" w:rsidRPr="003560BD" w:rsidRDefault="006305B5" w:rsidP="00BF6B07">
      <w:pPr>
        <w:pStyle w:val="Level1"/>
        <w:jc w:val="both"/>
        <w:rPr>
          <w:rFonts w:ascii="Arial" w:hAnsi="Arial" w:cs="Arial"/>
          <w:b/>
          <w:bCs/>
          <w:sz w:val="22"/>
          <w:szCs w:val="22"/>
        </w:rPr>
      </w:pPr>
      <w:r>
        <w:rPr>
          <w:rFonts w:ascii="Arial" w:hAnsi="Arial" w:cs="Arial"/>
          <w:b/>
          <w:bCs/>
          <w:sz w:val="22"/>
          <w:szCs w:val="22"/>
        </w:rPr>
        <w:lastRenderedPageBreak/>
        <w:t>Functional</w:t>
      </w:r>
      <w:r w:rsidR="00BF6B07" w:rsidRPr="003560BD">
        <w:rPr>
          <w:rFonts w:ascii="Arial" w:hAnsi="Arial" w:cs="Arial"/>
          <w:b/>
          <w:bCs/>
          <w:sz w:val="22"/>
          <w:szCs w:val="22"/>
        </w:rPr>
        <w:t xml:space="preserve"> Requirements</w:t>
      </w:r>
      <w:r w:rsidR="00DE704E">
        <w:rPr>
          <w:rFonts w:ascii="Arial" w:hAnsi="Arial" w:cs="Arial"/>
          <w:b/>
          <w:bCs/>
          <w:sz w:val="22"/>
          <w:szCs w:val="22"/>
        </w:rPr>
        <w:t xml:space="preserve">  </w:t>
      </w:r>
    </w:p>
    <w:p w14:paraId="56C29F00" w14:textId="77777777" w:rsidR="00573486" w:rsidRDefault="00573486" w:rsidP="00635AD0">
      <w:pPr>
        <w:pStyle w:val="Level2"/>
      </w:pPr>
      <w:r>
        <w:t xml:space="preserve">The proposed solution must be </w:t>
      </w:r>
      <w:r w:rsidR="00817592">
        <w:t>cloud</w:t>
      </w:r>
      <w:r>
        <w:t>-based</w:t>
      </w:r>
      <w:r w:rsidR="00FF278A">
        <w:t xml:space="preserve"> and provide a customizable website</w:t>
      </w:r>
      <w:r w:rsidR="00817592">
        <w:t xml:space="preserve"> for each golf course</w:t>
      </w:r>
      <w:r>
        <w:t>.</w:t>
      </w:r>
    </w:p>
    <w:p w14:paraId="035A96D9" w14:textId="77777777" w:rsidR="00573486" w:rsidRDefault="00573486" w:rsidP="00635AD0">
      <w:pPr>
        <w:pStyle w:val="Level2"/>
      </w:pPr>
      <w:r>
        <w:t xml:space="preserve">The solution must provide the ability for guests to </w:t>
      </w:r>
      <w:r w:rsidR="00934D44">
        <w:t>book tee times and golf carts</w:t>
      </w:r>
      <w:r>
        <w:t xml:space="preserve"> either online</w:t>
      </w:r>
      <w:r w:rsidR="00934D44">
        <w:t>, via mobile devices,</w:t>
      </w:r>
      <w:r>
        <w:t xml:space="preserve"> or in person.</w:t>
      </w:r>
    </w:p>
    <w:p w14:paraId="4559C020" w14:textId="77777777" w:rsidR="00FF278A" w:rsidRDefault="00FF278A" w:rsidP="00635AD0">
      <w:pPr>
        <w:pStyle w:val="Level2"/>
      </w:pPr>
      <w:r>
        <w:t>The solution must provide an integrated tee sheet that can be customized to meet course requirements (</w:t>
      </w:r>
      <w:r w:rsidR="000825FA">
        <w:t>e.g</w:t>
      </w:r>
      <w:r>
        <w:t xml:space="preserve">., playing times, number of holes, reserved blocks). </w:t>
      </w:r>
    </w:p>
    <w:p w14:paraId="1F2C556F" w14:textId="77777777" w:rsidR="00104191" w:rsidRDefault="00104191" w:rsidP="00635AD0">
      <w:pPr>
        <w:pStyle w:val="Level2"/>
      </w:pPr>
      <w:r>
        <w:t>The solution must provide the ability to send automated reminders for tee times via text and/or email.</w:t>
      </w:r>
    </w:p>
    <w:p w14:paraId="02D63395" w14:textId="77777777" w:rsidR="00104191" w:rsidRDefault="00104191" w:rsidP="00635AD0">
      <w:pPr>
        <w:pStyle w:val="Level2"/>
      </w:pPr>
      <w:r>
        <w:t xml:space="preserve">The solution must provide mobile system management for authorized staff. </w:t>
      </w:r>
    </w:p>
    <w:p w14:paraId="6E858DB4" w14:textId="77777777" w:rsidR="00FF278A" w:rsidRDefault="00FF278A" w:rsidP="00635AD0">
      <w:pPr>
        <w:pStyle w:val="Level2"/>
      </w:pPr>
      <w:r>
        <w:t>MDWFP will not</w:t>
      </w:r>
      <w:r w:rsidR="00104191">
        <w:t xml:space="preserve"> provide bartered tee times at either golf course.</w:t>
      </w:r>
    </w:p>
    <w:p w14:paraId="149A238A" w14:textId="77777777" w:rsidR="00946CD4" w:rsidRDefault="00946CD4" w:rsidP="00946CD4">
      <w:pPr>
        <w:pStyle w:val="Level2"/>
      </w:pPr>
      <w:r>
        <w:t>Vendor must describe whether the solution provides marketing tools to assist MDWFP in building business.</w:t>
      </w:r>
    </w:p>
    <w:p w14:paraId="785213F6" w14:textId="77777777" w:rsidR="00DA0BE0" w:rsidRDefault="00D103E3" w:rsidP="00635AD0">
      <w:pPr>
        <w:pStyle w:val="Level2"/>
      </w:pPr>
      <w:r>
        <w:t>Point of Sale System</w:t>
      </w:r>
    </w:p>
    <w:p w14:paraId="7FD4B25C" w14:textId="77777777" w:rsidR="006305B5" w:rsidRDefault="006305B5" w:rsidP="00477EF3">
      <w:pPr>
        <w:pStyle w:val="Level3"/>
        <w:ind w:left="2880" w:hanging="1080"/>
        <w:jc w:val="both"/>
        <w:rPr>
          <w:rFonts w:ascii="Arial" w:hAnsi="Arial" w:cs="Arial"/>
          <w:sz w:val="22"/>
          <w:szCs w:val="22"/>
        </w:rPr>
      </w:pPr>
      <w:r w:rsidRPr="006305B5">
        <w:rPr>
          <w:rFonts w:ascii="Arial" w:hAnsi="Arial" w:cs="Arial"/>
          <w:sz w:val="22"/>
          <w:szCs w:val="22"/>
        </w:rPr>
        <w:t>The proposed system must provide point of sale</w:t>
      </w:r>
      <w:r w:rsidR="00721CE6">
        <w:rPr>
          <w:rFonts w:ascii="Arial" w:hAnsi="Arial" w:cs="Arial"/>
          <w:sz w:val="22"/>
          <w:szCs w:val="22"/>
        </w:rPr>
        <w:t xml:space="preserve"> </w:t>
      </w:r>
      <w:r>
        <w:rPr>
          <w:rFonts w:ascii="Arial" w:hAnsi="Arial" w:cs="Arial"/>
          <w:sz w:val="22"/>
          <w:szCs w:val="22"/>
        </w:rPr>
        <w:t xml:space="preserve">(POS) </w:t>
      </w:r>
      <w:r w:rsidRPr="006305B5">
        <w:rPr>
          <w:rFonts w:ascii="Arial" w:hAnsi="Arial" w:cs="Arial"/>
          <w:sz w:val="22"/>
          <w:szCs w:val="22"/>
        </w:rPr>
        <w:t>functionality including inventory management.</w:t>
      </w:r>
    </w:p>
    <w:p w14:paraId="1DCB6624" w14:textId="77777777" w:rsidR="006305B5" w:rsidRDefault="006305B5" w:rsidP="00477EF3">
      <w:pPr>
        <w:pStyle w:val="Level3"/>
        <w:ind w:left="2880" w:hanging="1080"/>
        <w:jc w:val="both"/>
        <w:rPr>
          <w:rFonts w:ascii="Arial" w:hAnsi="Arial" w:cs="Arial"/>
          <w:sz w:val="22"/>
          <w:szCs w:val="22"/>
        </w:rPr>
      </w:pPr>
      <w:r>
        <w:rPr>
          <w:rFonts w:ascii="Arial" w:hAnsi="Arial" w:cs="Arial"/>
          <w:sz w:val="22"/>
          <w:szCs w:val="22"/>
        </w:rPr>
        <w:t xml:space="preserve">The POS must </w:t>
      </w:r>
      <w:r w:rsidR="00721CE6">
        <w:rPr>
          <w:rFonts w:ascii="Arial" w:hAnsi="Arial" w:cs="Arial"/>
          <w:sz w:val="22"/>
          <w:szCs w:val="22"/>
        </w:rPr>
        <w:t>be capable of handling sales for rounds of golf</w:t>
      </w:r>
      <w:r w:rsidR="00D50DD0">
        <w:rPr>
          <w:rFonts w:ascii="Arial" w:hAnsi="Arial" w:cs="Arial"/>
          <w:sz w:val="22"/>
          <w:szCs w:val="22"/>
        </w:rPr>
        <w:t xml:space="preserve">, </w:t>
      </w:r>
      <w:r w:rsidR="00721CE6">
        <w:rPr>
          <w:rFonts w:ascii="Arial" w:hAnsi="Arial" w:cs="Arial"/>
          <w:sz w:val="22"/>
          <w:szCs w:val="22"/>
        </w:rPr>
        <w:t>food services</w:t>
      </w:r>
      <w:r w:rsidR="00573486">
        <w:rPr>
          <w:rFonts w:ascii="Arial" w:hAnsi="Arial" w:cs="Arial"/>
          <w:sz w:val="22"/>
          <w:szCs w:val="22"/>
        </w:rPr>
        <w:t>, and merchandise</w:t>
      </w:r>
      <w:r w:rsidR="00721CE6">
        <w:rPr>
          <w:rFonts w:ascii="Arial" w:hAnsi="Arial" w:cs="Arial"/>
          <w:sz w:val="22"/>
          <w:szCs w:val="22"/>
        </w:rPr>
        <w:t>.</w:t>
      </w:r>
    </w:p>
    <w:p w14:paraId="1F1A2A27" w14:textId="77777777" w:rsidR="00D50DD0" w:rsidRDefault="00721CE6" w:rsidP="00477EF3">
      <w:pPr>
        <w:pStyle w:val="Level3"/>
        <w:ind w:left="2880" w:hanging="1080"/>
        <w:jc w:val="both"/>
        <w:rPr>
          <w:rFonts w:ascii="Arial" w:hAnsi="Arial" w:cs="Arial"/>
          <w:sz w:val="22"/>
          <w:szCs w:val="22"/>
        </w:rPr>
      </w:pPr>
      <w:r>
        <w:rPr>
          <w:rFonts w:ascii="Arial" w:hAnsi="Arial" w:cs="Arial"/>
          <w:sz w:val="22"/>
          <w:szCs w:val="22"/>
        </w:rPr>
        <w:t xml:space="preserve">Vendors must provide, with their proposal, a detailed </w:t>
      </w:r>
      <w:r w:rsidR="00B64B16">
        <w:rPr>
          <w:rFonts w:ascii="Arial" w:hAnsi="Arial" w:cs="Arial"/>
          <w:sz w:val="22"/>
          <w:szCs w:val="22"/>
        </w:rPr>
        <w:t xml:space="preserve">equipment </w:t>
      </w:r>
      <w:r>
        <w:rPr>
          <w:rFonts w:ascii="Arial" w:hAnsi="Arial" w:cs="Arial"/>
          <w:sz w:val="22"/>
          <w:szCs w:val="22"/>
        </w:rPr>
        <w:t xml:space="preserve">specification document for </w:t>
      </w:r>
      <w:r w:rsidR="00D50DD0">
        <w:rPr>
          <w:rFonts w:ascii="Arial" w:hAnsi="Arial" w:cs="Arial"/>
          <w:sz w:val="22"/>
          <w:szCs w:val="22"/>
        </w:rPr>
        <w:t xml:space="preserve">all required </w:t>
      </w:r>
      <w:r w:rsidR="00934D44">
        <w:rPr>
          <w:rFonts w:ascii="Arial" w:hAnsi="Arial" w:cs="Arial"/>
          <w:sz w:val="22"/>
          <w:szCs w:val="22"/>
        </w:rPr>
        <w:t xml:space="preserve">onsite </w:t>
      </w:r>
      <w:r w:rsidR="00D50DD0">
        <w:rPr>
          <w:rFonts w:ascii="Arial" w:hAnsi="Arial" w:cs="Arial"/>
          <w:sz w:val="22"/>
          <w:szCs w:val="22"/>
        </w:rPr>
        <w:t xml:space="preserve">hardware (e.g., </w:t>
      </w:r>
      <w:r w:rsidR="00946CD4">
        <w:rPr>
          <w:rFonts w:ascii="Arial" w:hAnsi="Arial" w:cs="Arial"/>
          <w:sz w:val="22"/>
          <w:szCs w:val="22"/>
        </w:rPr>
        <w:t>c</w:t>
      </w:r>
      <w:r w:rsidR="00D50DD0">
        <w:rPr>
          <w:rFonts w:ascii="Arial" w:hAnsi="Arial" w:cs="Arial"/>
          <w:sz w:val="22"/>
          <w:szCs w:val="22"/>
        </w:rPr>
        <w:t xml:space="preserve">redit card machine, </w:t>
      </w:r>
      <w:r w:rsidR="00946CD4">
        <w:rPr>
          <w:rFonts w:ascii="Arial" w:hAnsi="Arial" w:cs="Arial"/>
          <w:sz w:val="22"/>
          <w:szCs w:val="22"/>
        </w:rPr>
        <w:t>r</w:t>
      </w:r>
      <w:r w:rsidR="00D50DD0">
        <w:rPr>
          <w:rFonts w:ascii="Arial" w:hAnsi="Arial" w:cs="Arial"/>
          <w:sz w:val="22"/>
          <w:szCs w:val="22"/>
        </w:rPr>
        <w:t xml:space="preserve">eceipt printer, </w:t>
      </w:r>
      <w:r w:rsidR="00946CD4">
        <w:rPr>
          <w:rFonts w:ascii="Arial" w:hAnsi="Arial" w:cs="Arial"/>
          <w:sz w:val="22"/>
          <w:szCs w:val="22"/>
        </w:rPr>
        <w:t>b</w:t>
      </w:r>
      <w:r w:rsidR="00D50DD0">
        <w:rPr>
          <w:rFonts w:ascii="Arial" w:hAnsi="Arial" w:cs="Arial"/>
          <w:sz w:val="22"/>
          <w:szCs w:val="22"/>
        </w:rPr>
        <w:t xml:space="preserve">arcode reader, </w:t>
      </w:r>
      <w:r w:rsidR="00946CD4">
        <w:rPr>
          <w:rFonts w:ascii="Arial" w:hAnsi="Arial" w:cs="Arial"/>
          <w:sz w:val="22"/>
          <w:szCs w:val="22"/>
        </w:rPr>
        <w:t>c</w:t>
      </w:r>
      <w:r w:rsidR="00D50DD0">
        <w:rPr>
          <w:rFonts w:ascii="Arial" w:hAnsi="Arial" w:cs="Arial"/>
          <w:sz w:val="22"/>
          <w:szCs w:val="22"/>
        </w:rPr>
        <w:t>ash drawer)</w:t>
      </w:r>
      <w:r w:rsidR="00934D44">
        <w:rPr>
          <w:rFonts w:ascii="Arial" w:hAnsi="Arial" w:cs="Arial"/>
          <w:sz w:val="22"/>
          <w:szCs w:val="22"/>
        </w:rPr>
        <w:t>. MDWFP will purchase all onsite hardware.</w:t>
      </w:r>
    </w:p>
    <w:p w14:paraId="49CFE10D" w14:textId="77777777" w:rsidR="00D50DD0" w:rsidRDefault="00721CE6" w:rsidP="00477EF3">
      <w:pPr>
        <w:pStyle w:val="Level3"/>
        <w:ind w:left="2880" w:hanging="1080"/>
        <w:jc w:val="both"/>
        <w:rPr>
          <w:rFonts w:ascii="Arial" w:hAnsi="Arial" w:cs="Arial"/>
          <w:sz w:val="22"/>
          <w:szCs w:val="22"/>
        </w:rPr>
      </w:pPr>
      <w:r>
        <w:rPr>
          <w:rFonts w:ascii="Arial" w:hAnsi="Arial" w:cs="Arial"/>
          <w:sz w:val="22"/>
          <w:szCs w:val="22"/>
        </w:rPr>
        <w:t xml:space="preserve">The proposed solution must provide </w:t>
      </w:r>
      <w:r w:rsidR="00B64B16">
        <w:rPr>
          <w:rFonts w:ascii="Arial" w:hAnsi="Arial" w:cs="Arial"/>
          <w:sz w:val="22"/>
          <w:szCs w:val="22"/>
        </w:rPr>
        <w:t xml:space="preserve">a POS with </w:t>
      </w:r>
      <w:r>
        <w:rPr>
          <w:rFonts w:ascii="Arial" w:hAnsi="Arial" w:cs="Arial"/>
          <w:sz w:val="22"/>
          <w:szCs w:val="22"/>
        </w:rPr>
        <w:t xml:space="preserve">touch-screen </w:t>
      </w:r>
      <w:r w:rsidR="00D93BCF">
        <w:rPr>
          <w:rFonts w:ascii="Arial" w:hAnsi="Arial" w:cs="Arial"/>
          <w:sz w:val="22"/>
          <w:szCs w:val="22"/>
        </w:rPr>
        <w:t xml:space="preserve">and bar-code </w:t>
      </w:r>
      <w:r w:rsidR="00D50DD0">
        <w:rPr>
          <w:rFonts w:ascii="Arial" w:hAnsi="Arial" w:cs="Arial"/>
          <w:sz w:val="22"/>
          <w:szCs w:val="22"/>
        </w:rPr>
        <w:t>capability</w:t>
      </w:r>
      <w:r>
        <w:rPr>
          <w:rFonts w:ascii="Arial" w:hAnsi="Arial" w:cs="Arial"/>
          <w:sz w:val="22"/>
          <w:szCs w:val="22"/>
        </w:rPr>
        <w:t>.</w:t>
      </w:r>
    </w:p>
    <w:p w14:paraId="46F9831E" w14:textId="77777777" w:rsidR="00817592" w:rsidRDefault="00817592" w:rsidP="00477EF3">
      <w:pPr>
        <w:pStyle w:val="Level3"/>
        <w:ind w:left="2880" w:hanging="1080"/>
        <w:jc w:val="both"/>
        <w:rPr>
          <w:rFonts w:ascii="Arial" w:hAnsi="Arial" w:cs="Arial"/>
          <w:sz w:val="22"/>
          <w:szCs w:val="22"/>
        </w:rPr>
      </w:pPr>
      <w:r>
        <w:rPr>
          <w:rFonts w:ascii="Arial" w:hAnsi="Arial" w:cs="Arial"/>
          <w:sz w:val="22"/>
          <w:szCs w:val="22"/>
        </w:rPr>
        <w:t>Vendor must describe inventory control features.</w:t>
      </w:r>
    </w:p>
    <w:p w14:paraId="6D27F61B" w14:textId="77777777" w:rsidR="00721CE6" w:rsidRDefault="00104191" w:rsidP="00477EF3">
      <w:pPr>
        <w:pStyle w:val="Level3"/>
        <w:ind w:left="2880" w:hanging="1080"/>
        <w:jc w:val="both"/>
        <w:rPr>
          <w:rFonts w:ascii="Arial" w:hAnsi="Arial" w:cs="Arial"/>
          <w:sz w:val="22"/>
          <w:szCs w:val="22"/>
        </w:rPr>
      </w:pPr>
      <w:r>
        <w:rPr>
          <w:rFonts w:ascii="Arial" w:hAnsi="Arial" w:cs="Arial"/>
          <w:sz w:val="22"/>
          <w:szCs w:val="22"/>
        </w:rPr>
        <w:t xml:space="preserve">Vendor must describe </w:t>
      </w:r>
      <w:r w:rsidR="00817592">
        <w:rPr>
          <w:rFonts w:ascii="Arial" w:hAnsi="Arial" w:cs="Arial"/>
          <w:sz w:val="22"/>
          <w:szCs w:val="22"/>
        </w:rPr>
        <w:t xml:space="preserve">whether </w:t>
      </w:r>
      <w:r>
        <w:rPr>
          <w:rFonts w:ascii="Arial" w:hAnsi="Arial" w:cs="Arial"/>
          <w:sz w:val="22"/>
          <w:szCs w:val="22"/>
        </w:rPr>
        <w:t xml:space="preserve">the </w:t>
      </w:r>
      <w:r w:rsidR="00817592">
        <w:rPr>
          <w:rFonts w:ascii="Arial" w:hAnsi="Arial" w:cs="Arial"/>
          <w:sz w:val="22"/>
          <w:szCs w:val="22"/>
        </w:rPr>
        <w:t xml:space="preserve">proposed solution offers </w:t>
      </w:r>
      <w:r w:rsidR="00477EF3">
        <w:rPr>
          <w:rFonts w:ascii="Arial" w:hAnsi="Arial" w:cs="Arial"/>
          <w:sz w:val="22"/>
          <w:szCs w:val="22"/>
        </w:rPr>
        <w:t>loyalty-tracking</w:t>
      </w:r>
      <w:r w:rsidR="00817592">
        <w:rPr>
          <w:rFonts w:ascii="Arial" w:hAnsi="Arial" w:cs="Arial"/>
          <w:sz w:val="22"/>
          <w:szCs w:val="22"/>
        </w:rPr>
        <w:t xml:space="preserve"> features for customers. </w:t>
      </w:r>
    </w:p>
    <w:p w14:paraId="31194C57" w14:textId="77777777" w:rsidR="00D93BCF" w:rsidRPr="00D93BCF" w:rsidRDefault="00D93BCF" w:rsidP="007333AD">
      <w:pPr>
        <w:pStyle w:val="Level2"/>
      </w:pPr>
      <w:r w:rsidRPr="00D93BCF">
        <w:t>Payment Processor</w:t>
      </w:r>
    </w:p>
    <w:p w14:paraId="32927A0D" w14:textId="77777777" w:rsidR="00D93BCF" w:rsidRPr="00D93BCF" w:rsidRDefault="00D93BCF" w:rsidP="00257D2F">
      <w:pPr>
        <w:pStyle w:val="Level3"/>
        <w:numPr>
          <w:ilvl w:val="0"/>
          <w:numId w:val="0"/>
        </w:numPr>
        <w:ind w:left="1800"/>
        <w:jc w:val="both"/>
        <w:rPr>
          <w:rFonts w:ascii="Arial" w:hAnsi="Arial" w:cs="Arial"/>
          <w:sz w:val="22"/>
          <w:szCs w:val="22"/>
        </w:rPr>
      </w:pPr>
      <w:r w:rsidRPr="00D93BCF">
        <w:rPr>
          <w:rFonts w:ascii="Arial" w:hAnsi="Arial" w:cs="Arial"/>
          <w:sz w:val="22"/>
          <w:szCs w:val="22"/>
        </w:rPr>
        <w:t xml:space="preserve">Mississippi Interactive (MSI) is the single point of entry for all e-commerce transactions. Vendors must use the official payment processor for any of the following services where payment is required. See Attachment </w:t>
      </w:r>
      <w:r>
        <w:rPr>
          <w:rFonts w:ascii="Arial" w:hAnsi="Arial" w:cs="Arial"/>
          <w:sz w:val="22"/>
          <w:szCs w:val="22"/>
        </w:rPr>
        <w:t>A</w:t>
      </w:r>
      <w:r w:rsidRPr="00D93BCF">
        <w:rPr>
          <w:rFonts w:ascii="Arial" w:hAnsi="Arial" w:cs="Arial"/>
          <w:sz w:val="22"/>
          <w:szCs w:val="22"/>
        </w:rPr>
        <w:t xml:space="preserve"> for more details.</w:t>
      </w:r>
    </w:p>
    <w:p w14:paraId="38611366" w14:textId="77777777" w:rsidR="00D93BCF" w:rsidRPr="00D93BCF" w:rsidRDefault="00D93BCF" w:rsidP="0061377C">
      <w:pPr>
        <w:pStyle w:val="Level3"/>
        <w:numPr>
          <w:ilvl w:val="0"/>
          <w:numId w:val="11"/>
        </w:numPr>
        <w:rPr>
          <w:rFonts w:ascii="Arial" w:hAnsi="Arial" w:cs="Arial"/>
          <w:sz w:val="22"/>
          <w:szCs w:val="22"/>
        </w:rPr>
      </w:pPr>
      <w:r w:rsidRPr="00D93BCF">
        <w:rPr>
          <w:rFonts w:ascii="Arial" w:hAnsi="Arial" w:cs="Arial"/>
          <w:sz w:val="22"/>
          <w:szCs w:val="22"/>
        </w:rPr>
        <w:lastRenderedPageBreak/>
        <w:t>Web Services</w:t>
      </w:r>
    </w:p>
    <w:p w14:paraId="7F31FF40" w14:textId="77777777" w:rsidR="00D93BCF" w:rsidRPr="00D93BCF" w:rsidRDefault="00D93BCF" w:rsidP="0061377C">
      <w:pPr>
        <w:pStyle w:val="Level3"/>
        <w:numPr>
          <w:ilvl w:val="0"/>
          <w:numId w:val="11"/>
        </w:numPr>
        <w:rPr>
          <w:rFonts w:ascii="Arial" w:hAnsi="Arial" w:cs="Arial"/>
          <w:sz w:val="22"/>
          <w:szCs w:val="22"/>
        </w:rPr>
      </w:pPr>
      <w:r w:rsidRPr="00D93BCF">
        <w:rPr>
          <w:rFonts w:ascii="Arial" w:hAnsi="Arial" w:cs="Arial"/>
          <w:sz w:val="22"/>
          <w:szCs w:val="22"/>
        </w:rPr>
        <w:t>IVR services</w:t>
      </w:r>
    </w:p>
    <w:p w14:paraId="3C1A3A3A" w14:textId="77777777" w:rsidR="00D93BCF" w:rsidRPr="00D93BCF" w:rsidRDefault="00D93BCF" w:rsidP="0061377C">
      <w:pPr>
        <w:pStyle w:val="Level3"/>
        <w:numPr>
          <w:ilvl w:val="0"/>
          <w:numId w:val="11"/>
        </w:numPr>
        <w:rPr>
          <w:rFonts w:ascii="Arial" w:hAnsi="Arial" w:cs="Arial"/>
          <w:sz w:val="22"/>
          <w:szCs w:val="22"/>
        </w:rPr>
      </w:pPr>
      <w:r w:rsidRPr="00D93BCF">
        <w:rPr>
          <w:rFonts w:ascii="Arial" w:hAnsi="Arial" w:cs="Arial"/>
          <w:sz w:val="22"/>
          <w:szCs w:val="22"/>
        </w:rPr>
        <w:t>Mobile Services</w:t>
      </w:r>
    </w:p>
    <w:p w14:paraId="5538A633" w14:textId="77777777" w:rsidR="00D93BCF" w:rsidRPr="00D93BCF" w:rsidRDefault="00D93BCF" w:rsidP="0061377C">
      <w:pPr>
        <w:pStyle w:val="Level3"/>
        <w:numPr>
          <w:ilvl w:val="0"/>
          <w:numId w:val="11"/>
        </w:numPr>
        <w:rPr>
          <w:rFonts w:ascii="Arial" w:hAnsi="Arial" w:cs="Arial"/>
          <w:sz w:val="22"/>
          <w:szCs w:val="22"/>
        </w:rPr>
      </w:pPr>
      <w:r w:rsidRPr="00D93BCF">
        <w:rPr>
          <w:rFonts w:ascii="Arial" w:hAnsi="Arial" w:cs="Arial"/>
          <w:sz w:val="22"/>
          <w:szCs w:val="22"/>
        </w:rPr>
        <w:t>Over the counter payment processing services</w:t>
      </w:r>
    </w:p>
    <w:p w14:paraId="794CD847" w14:textId="77777777" w:rsidR="00D93BCF" w:rsidRPr="00D93BCF" w:rsidRDefault="00D93BCF" w:rsidP="0061377C">
      <w:pPr>
        <w:pStyle w:val="Level3"/>
        <w:numPr>
          <w:ilvl w:val="0"/>
          <w:numId w:val="11"/>
        </w:numPr>
        <w:rPr>
          <w:rFonts w:ascii="Arial" w:hAnsi="Arial" w:cs="Arial"/>
          <w:sz w:val="22"/>
          <w:szCs w:val="22"/>
        </w:rPr>
      </w:pPr>
      <w:r w:rsidRPr="00D93BCF">
        <w:rPr>
          <w:rFonts w:ascii="Arial" w:hAnsi="Arial" w:cs="Arial"/>
          <w:sz w:val="22"/>
          <w:szCs w:val="22"/>
        </w:rPr>
        <w:t>Kiosk services</w:t>
      </w:r>
    </w:p>
    <w:p w14:paraId="14120F43" w14:textId="77777777" w:rsidR="00D93BCF" w:rsidRPr="00D93BCF" w:rsidRDefault="00D93BCF" w:rsidP="0061377C">
      <w:pPr>
        <w:pStyle w:val="Level3"/>
        <w:numPr>
          <w:ilvl w:val="0"/>
          <w:numId w:val="11"/>
        </w:numPr>
        <w:rPr>
          <w:rFonts w:ascii="Arial" w:hAnsi="Arial" w:cs="Arial"/>
          <w:sz w:val="22"/>
          <w:szCs w:val="22"/>
        </w:rPr>
      </w:pPr>
      <w:r w:rsidRPr="00D93BCF">
        <w:rPr>
          <w:rFonts w:ascii="Arial" w:hAnsi="Arial" w:cs="Arial"/>
          <w:sz w:val="22"/>
          <w:szCs w:val="22"/>
        </w:rPr>
        <w:t>Lock Box Services</w:t>
      </w:r>
    </w:p>
    <w:p w14:paraId="13E02D5F" w14:textId="77777777" w:rsidR="00D93BCF" w:rsidRDefault="00E2660B" w:rsidP="00D93BCF">
      <w:pPr>
        <w:pStyle w:val="Level3"/>
        <w:tabs>
          <w:tab w:val="clear" w:pos="1800"/>
          <w:tab w:val="num" w:pos="2160"/>
        </w:tabs>
        <w:ind w:left="2880" w:hanging="1080"/>
        <w:jc w:val="both"/>
        <w:rPr>
          <w:rFonts w:ascii="Arial" w:hAnsi="Arial" w:cs="Arial"/>
          <w:sz w:val="22"/>
          <w:szCs w:val="22"/>
        </w:rPr>
      </w:pPr>
      <w:r>
        <w:rPr>
          <w:rFonts w:ascii="Arial" w:hAnsi="Arial" w:cs="Arial"/>
          <w:sz w:val="22"/>
          <w:szCs w:val="22"/>
        </w:rPr>
        <w:t xml:space="preserve">MSI accepts the following payment methods:  </w:t>
      </w:r>
      <w:r w:rsidR="00D93BCF" w:rsidRPr="00D93BCF">
        <w:rPr>
          <w:rFonts w:ascii="Arial" w:hAnsi="Arial" w:cs="Arial"/>
          <w:sz w:val="22"/>
          <w:szCs w:val="22"/>
        </w:rPr>
        <w:t xml:space="preserve">Visa, Master Card, American Express, Discover, </w:t>
      </w:r>
      <w:r w:rsidR="00D93BCF" w:rsidRPr="00883216">
        <w:rPr>
          <w:rFonts w:ascii="Arial" w:hAnsi="Arial" w:cs="Arial"/>
          <w:sz w:val="22"/>
          <w:szCs w:val="22"/>
        </w:rPr>
        <w:t>electronic check</w:t>
      </w:r>
      <w:r w:rsidR="00D93BCF" w:rsidRPr="00D93BCF">
        <w:rPr>
          <w:rFonts w:ascii="Arial" w:hAnsi="Arial" w:cs="Arial"/>
          <w:sz w:val="22"/>
          <w:szCs w:val="22"/>
        </w:rPr>
        <w:t>, and subscription (monthly billed).</w:t>
      </w:r>
    </w:p>
    <w:p w14:paraId="1A39598D" w14:textId="77777777" w:rsidR="00460508" w:rsidRDefault="00460508" w:rsidP="00D93BCF">
      <w:pPr>
        <w:pStyle w:val="Level3"/>
        <w:tabs>
          <w:tab w:val="clear" w:pos="1800"/>
          <w:tab w:val="num" w:pos="2160"/>
        </w:tabs>
        <w:ind w:left="2880" w:hanging="1080"/>
        <w:jc w:val="both"/>
        <w:rPr>
          <w:rFonts w:ascii="Arial" w:hAnsi="Arial" w:cs="Arial"/>
          <w:sz w:val="22"/>
          <w:szCs w:val="22"/>
        </w:rPr>
      </w:pPr>
      <w:r>
        <w:rPr>
          <w:rFonts w:ascii="Arial" w:hAnsi="Arial" w:cs="Arial"/>
          <w:sz w:val="22"/>
          <w:szCs w:val="22"/>
        </w:rPr>
        <w:t>If the Vendor has a preferred payment engine process and believes that using the State’s payment engine will be less efficient, the Vendor must provide a detailed justification explaining the benefits of using the Vendor’s payment engine. Should the State decide that using the Vendor’s payment engine is in the best interest of the State, MDWFP will use this information to apply for a waiver as outlined in DFA’s Administrative Rule referenced in Attachment A.</w:t>
      </w:r>
    </w:p>
    <w:p w14:paraId="252D2701" w14:textId="77777777" w:rsidR="00433581" w:rsidRDefault="003E130C" w:rsidP="00D93BCF">
      <w:pPr>
        <w:pStyle w:val="Level3"/>
        <w:tabs>
          <w:tab w:val="clear" w:pos="1800"/>
          <w:tab w:val="num" w:pos="2160"/>
        </w:tabs>
        <w:ind w:left="2880" w:hanging="1080"/>
        <w:jc w:val="both"/>
        <w:rPr>
          <w:rFonts w:ascii="Arial" w:hAnsi="Arial" w:cs="Arial"/>
          <w:sz w:val="22"/>
          <w:szCs w:val="22"/>
        </w:rPr>
      </w:pPr>
      <w:r>
        <w:rPr>
          <w:rFonts w:ascii="Arial" w:hAnsi="Arial" w:cs="Arial"/>
          <w:sz w:val="22"/>
          <w:szCs w:val="22"/>
        </w:rPr>
        <w:t>If the State agrees to use the Vendor’s payment engine, the Vendor must assume all responsibility for meeting Payment Card Industry (PCI) compliance requirements.</w:t>
      </w:r>
    </w:p>
    <w:p w14:paraId="503E0E5B" w14:textId="77777777" w:rsidR="003E130C" w:rsidRDefault="003E130C" w:rsidP="00D93BCF">
      <w:pPr>
        <w:pStyle w:val="Level3"/>
        <w:tabs>
          <w:tab w:val="clear" w:pos="1800"/>
          <w:tab w:val="num" w:pos="2160"/>
        </w:tabs>
        <w:ind w:left="2880" w:hanging="1080"/>
        <w:jc w:val="both"/>
        <w:rPr>
          <w:rFonts w:ascii="Arial" w:hAnsi="Arial" w:cs="Arial"/>
          <w:sz w:val="22"/>
          <w:szCs w:val="22"/>
        </w:rPr>
      </w:pPr>
      <w:r>
        <w:rPr>
          <w:rFonts w:ascii="Arial" w:hAnsi="Arial" w:cs="Arial"/>
          <w:sz w:val="22"/>
          <w:szCs w:val="22"/>
        </w:rPr>
        <w:t xml:space="preserve">Vendors not using the State’s approved payment engine </w:t>
      </w:r>
      <w:r w:rsidR="00D37800">
        <w:rPr>
          <w:rFonts w:ascii="Arial" w:hAnsi="Arial" w:cs="Arial"/>
          <w:sz w:val="22"/>
          <w:szCs w:val="22"/>
        </w:rPr>
        <w:t>will have</w:t>
      </w:r>
      <w:r>
        <w:rPr>
          <w:rFonts w:ascii="Arial" w:hAnsi="Arial" w:cs="Arial"/>
          <w:sz w:val="22"/>
          <w:szCs w:val="22"/>
        </w:rPr>
        <w:t xml:space="preserve"> to demonstrate PCI compliance annually and assume all liability in the event of a system breach.</w:t>
      </w:r>
    </w:p>
    <w:p w14:paraId="77B98D5A" w14:textId="77777777" w:rsidR="00FE196D" w:rsidRPr="00D93BCF" w:rsidRDefault="00FE196D" w:rsidP="00D93BCF">
      <w:pPr>
        <w:pStyle w:val="Level3"/>
        <w:tabs>
          <w:tab w:val="clear" w:pos="1800"/>
          <w:tab w:val="num" w:pos="2160"/>
        </w:tabs>
        <w:ind w:left="2880" w:hanging="1080"/>
        <w:jc w:val="both"/>
        <w:rPr>
          <w:rFonts w:ascii="Arial" w:hAnsi="Arial" w:cs="Arial"/>
          <w:sz w:val="22"/>
          <w:szCs w:val="22"/>
        </w:rPr>
      </w:pPr>
      <w:r>
        <w:rPr>
          <w:rFonts w:ascii="Arial" w:hAnsi="Arial" w:cs="Arial"/>
          <w:sz w:val="22"/>
          <w:szCs w:val="22"/>
        </w:rPr>
        <w:t xml:space="preserve">Vendors must provide cost with and without MSI’s payment processor. See </w:t>
      </w:r>
      <w:r w:rsidRPr="00FE196D">
        <w:rPr>
          <w:rFonts w:ascii="Arial" w:hAnsi="Arial" w:cs="Arial"/>
          <w:i/>
          <w:sz w:val="22"/>
          <w:szCs w:val="22"/>
        </w:rPr>
        <w:t>Section VIII Cost Information Submission</w:t>
      </w:r>
      <w:r>
        <w:rPr>
          <w:rFonts w:ascii="Arial" w:hAnsi="Arial" w:cs="Arial"/>
          <w:sz w:val="22"/>
          <w:szCs w:val="22"/>
        </w:rPr>
        <w:t>.</w:t>
      </w:r>
    </w:p>
    <w:p w14:paraId="24709CCC" w14:textId="77777777" w:rsidR="00D103E3" w:rsidRDefault="00D103E3" w:rsidP="00635AD0">
      <w:pPr>
        <w:pStyle w:val="Level2"/>
      </w:pPr>
      <w:r>
        <w:t>Reporting</w:t>
      </w:r>
    </w:p>
    <w:p w14:paraId="0F3C158E" w14:textId="77777777" w:rsidR="00C43070" w:rsidRPr="00883216" w:rsidRDefault="00946CD4" w:rsidP="00946CD4">
      <w:pPr>
        <w:pStyle w:val="Level3"/>
        <w:tabs>
          <w:tab w:val="clear" w:pos="1800"/>
          <w:tab w:val="num" w:pos="2160"/>
        </w:tabs>
        <w:ind w:left="2880" w:hanging="1080"/>
        <w:jc w:val="both"/>
      </w:pPr>
      <w:r w:rsidRPr="00946CD4">
        <w:rPr>
          <w:rFonts w:ascii="Arial" w:hAnsi="Arial" w:cs="Arial"/>
          <w:sz w:val="22"/>
          <w:szCs w:val="22"/>
        </w:rPr>
        <w:t>The solution must have a report module in place that provides the ability</w:t>
      </w:r>
      <w:r w:rsidR="00C43070">
        <w:rPr>
          <w:rFonts w:ascii="Arial" w:hAnsi="Arial" w:cs="Arial"/>
          <w:sz w:val="22"/>
          <w:szCs w:val="22"/>
        </w:rPr>
        <w:t xml:space="preserve"> for MDWFP</w:t>
      </w:r>
      <w:r w:rsidRPr="00946CD4">
        <w:rPr>
          <w:rFonts w:ascii="Arial" w:hAnsi="Arial" w:cs="Arial"/>
          <w:sz w:val="22"/>
          <w:szCs w:val="22"/>
        </w:rPr>
        <w:t xml:space="preserve"> to create custom reports as well as modify standard system reports to meet MDWFP’s needs. </w:t>
      </w:r>
    </w:p>
    <w:p w14:paraId="0F139B17" w14:textId="77777777" w:rsidR="00946CD4" w:rsidRPr="00883216" w:rsidRDefault="00C43070" w:rsidP="00477EF3">
      <w:pPr>
        <w:pStyle w:val="Level4"/>
        <w:tabs>
          <w:tab w:val="clear" w:pos="3600"/>
        </w:tabs>
        <w:jc w:val="both"/>
        <w:rPr>
          <w:rFonts w:ascii="Arial" w:hAnsi="Arial" w:cs="Arial"/>
        </w:rPr>
      </w:pPr>
      <w:r w:rsidRPr="00883216">
        <w:rPr>
          <w:rFonts w:ascii="Arial" w:hAnsi="Arial" w:cs="Arial"/>
          <w:sz w:val="22"/>
          <w:szCs w:val="22"/>
        </w:rPr>
        <w:t>The solution must provide ad-hoc reporting capabilities. Users will have the ability to include/exclude data elements. Reports can be further customized using filter options, sort options, etc.</w:t>
      </w:r>
      <w:r w:rsidR="00946CD4" w:rsidRPr="00883216">
        <w:rPr>
          <w:rFonts w:ascii="Arial" w:hAnsi="Arial" w:cs="Arial"/>
        </w:rPr>
        <w:t xml:space="preserve"> </w:t>
      </w:r>
    </w:p>
    <w:p w14:paraId="7E318529" w14:textId="77777777" w:rsidR="00946CD4" w:rsidRPr="00946CD4" w:rsidRDefault="00946CD4" w:rsidP="00946CD4">
      <w:pPr>
        <w:pStyle w:val="Level3"/>
        <w:tabs>
          <w:tab w:val="clear" w:pos="1800"/>
          <w:tab w:val="num" w:pos="2160"/>
        </w:tabs>
        <w:ind w:left="2880" w:hanging="1080"/>
        <w:jc w:val="both"/>
      </w:pPr>
      <w:r>
        <w:rPr>
          <w:rFonts w:ascii="Arial" w:hAnsi="Arial" w:cs="Arial"/>
          <w:sz w:val="22"/>
          <w:szCs w:val="22"/>
        </w:rPr>
        <w:t>The Vendor must provide with his proposal a list of all standard reports provided by the s</w:t>
      </w:r>
      <w:r w:rsidR="006A499B">
        <w:rPr>
          <w:rFonts w:ascii="Arial" w:hAnsi="Arial" w:cs="Arial"/>
          <w:sz w:val="22"/>
          <w:szCs w:val="22"/>
        </w:rPr>
        <w:t>olution</w:t>
      </w:r>
      <w:r>
        <w:rPr>
          <w:rFonts w:ascii="Arial" w:hAnsi="Arial" w:cs="Arial"/>
          <w:sz w:val="22"/>
          <w:szCs w:val="22"/>
        </w:rPr>
        <w:t>.</w:t>
      </w:r>
    </w:p>
    <w:p w14:paraId="4CCE84DB" w14:textId="77777777" w:rsidR="00946CD4" w:rsidRPr="006A499B" w:rsidRDefault="006A499B" w:rsidP="00946CD4">
      <w:pPr>
        <w:pStyle w:val="Level3"/>
        <w:tabs>
          <w:tab w:val="clear" w:pos="1800"/>
          <w:tab w:val="num" w:pos="2160"/>
        </w:tabs>
        <w:ind w:left="2880" w:hanging="1080"/>
        <w:jc w:val="both"/>
      </w:pPr>
      <w:r>
        <w:rPr>
          <w:rFonts w:ascii="Arial" w:hAnsi="Arial" w:cs="Arial"/>
          <w:sz w:val="22"/>
          <w:szCs w:val="22"/>
        </w:rPr>
        <w:lastRenderedPageBreak/>
        <w:t>The solution must be able to report on customer retention, frequency of play, golfer history by golf course, and demographic information.</w:t>
      </w:r>
    </w:p>
    <w:p w14:paraId="29CBB547" w14:textId="77777777" w:rsidR="00D90D4F" w:rsidRPr="00EE78DC" w:rsidRDefault="006A499B" w:rsidP="00946CD4">
      <w:pPr>
        <w:pStyle w:val="Level3"/>
        <w:tabs>
          <w:tab w:val="clear" w:pos="1800"/>
          <w:tab w:val="num" w:pos="2160"/>
        </w:tabs>
        <w:ind w:left="2880" w:hanging="1080"/>
        <w:jc w:val="both"/>
      </w:pPr>
      <w:r>
        <w:rPr>
          <w:rFonts w:ascii="Arial" w:hAnsi="Arial" w:cs="Arial"/>
          <w:sz w:val="22"/>
          <w:szCs w:val="22"/>
        </w:rPr>
        <w:t>The solution must provide the ability to export report content and other data to Excel and PDF.</w:t>
      </w:r>
    </w:p>
    <w:p w14:paraId="06F637F8" w14:textId="77777777" w:rsidR="007A3D73" w:rsidRDefault="007A3D73" w:rsidP="007A3D73">
      <w:pPr>
        <w:pStyle w:val="Level1"/>
        <w:jc w:val="both"/>
        <w:rPr>
          <w:rFonts w:ascii="Arial" w:hAnsi="Arial" w:cs="Arial"/>
          <w:b/>
          <w:bCs/>
          <w:sz w:val="22"/>
          <w:szCs w:val="22"/>
        </w:rPr>
      </w:pPr>
      <w:r>
        <w:rPr>
          <w:rFonts w:ascii="Arial" w:hAnsi="Arial" w:cs="Arial"/>
          <w:b/>
          <w:bCs/>
          <w:sz w:val="22"/>
          <w:szCs w:val="22"/>
        </w:rPr>
        <w:t>Hosting Requirements</w:t>
      </w:r>
    </w:p>
    <w:p w14:paraId="2ECDCA09" w14:textId="77777777" w:rsidR="007A3D73" w:rsidRPr="00883216" w:rsidRDefault="007A3D73" w:rsidP="007A3D73">
      <w:pPr>
        <w:pStyle w:val="Level1"/>
        <w:numPr>
          <w:ilvl w:val="0"/>
          <w:numId w:val="0"/>
        </w:numPr>
        <w:ind w:left="720"/>
        <w:jc w:val="both"/>
        <w:rPr>
          <w:rFonts w:ascii="Arial" w:hAnsi="Arial" w:cs="Arial"/>
          <w:sz w:val="22"/>
          <w:szCs w:val="22"/>
        </w:rPr>
      </w:pPr>
      <w:r w:rsidRPr="00FC53DE">
        <w:rPr>
          <w:rFonts w:ascii="Arial" w:hAnsi="Arial" w:cs="Arial"/>
          <w:sz w:val="22"/>
          <w:szCs w:val="22"/>
        </w:rPr>
        <w:t xml:space="preserve">The Vendor must propose hosting and consulting services for </w:t>
      </w:r>
      <w:r>
        <w:rPr>
          <w:rFonts w:ascii="Arial" w:hAnsi="Arial" w:cs="Arial"/>
          <w:sz w:val="22"/>
          <w:szCs w:val="22"/>
        </w:rPr>
        <w:t>MDWFP</w:t>
      </w:r>
      <w:r w:rsidRPr="00FC53DE">
        <w:rPr>
          <w:rFonts w:ascii="Arial" w:hAnsi="Arial" w:cs="Arial"/>
          <w:sz w:val="22"/>
          <w:szCs w:val="22"/>
        </w:rPr>
        <w:t xml:space="preserve">’s </w:t>
      </w:r>
      <w:r>
        <w:rPr>
          <w:rFonts w:ascii="Arial" w:hAnsi="Arial" w:cs="Arial"/>
          <w:sz w:val="22"/>
          <w:szCs w:val="22"/>
        </w:rPr>
        <w:t>Golf Management</w:t>
      </w:r>
      <w:r w:rsidRPr="00FC53DE">
        <w:rPr>
          <w:rFonts w:ascii="Arial" w:hAnsi="Arial" w:cs="Arial"/>
          <w:sz w:val="22"/>
          <w:szCs w:val="22"/>
        </w:rPr>
        <w:t xml:space="preserve"> System under a hosted arrangement at the Vendor’s site.  Vendor must fully describe the manner and degree </w:t>
      </w:r>
      <w:r>
        <w:rPr>
          <w:rFonts w:ascii="Arial" w:hAnsi="Arial" w:cs="Arial"/>
          <w:sz w:val="22"/>
          <w:szCs w:val="22"/>
        </w:rPr>
        <w:t>to</w:t>
      </w:r>
      <w:r w:rsidRPr="00FC53DE">
        <w:rPr>
          <w:rFonts w:ascii="Arial" w:hAnsi="Arial" w:cs="Arial"/>
          <w:sz w:val="22"/>
          <w:szCs w:val="22"/>
        </w:rPr>
        <w:t xml:space="preserve"> which their proposal meets the following minimum requirements.</w:t>
      </w:r>
    </w:p>
    <w:p w14:paraId="27CC83CD" w14:textId="77777777" w:rsidR="007A3D73" w:rsidRPr="00FC53DE" w:rsidRDefault="007A3D73" w:rsidP="007A3D73">
      <w:pPr>
        <w:pStyle w:val="Level2"/>
      </w:pPr>
      <w:r w:rsidRPr="00346C0D">
        <w:t>The Vendor must provide a services package consisti</w:t>
      </w:r>
      <w:r w:rsidRPr="003B2424">
        <w:t>ng of application hosting, network telecommunications, applications and system software, pre-installation analysis and design, applications profiling, database migration, staff training, ongoing technical support and implementation of associated methods an</w:t>
      </w:r>
      <w:r w:rsidRPr="004C7F22">
        <w:t xml:space="preserve">d procedures for the adaptation of the proposed system by </w:t>
      </w:r>
      <w:r>
        <w:t>MDWFP</w:t>
      </w:r>
      <w:r w:rsidRPr="00FC53DE">
        <w:t>.</w:t>
      </w:r>
    </w:p>
    <w:p w14:paraId="6BE922B7" w14:textId="77777777" w:rsidR="007A3D73" w:rsidRPr="00FC53DE" w:rsidRDefault="007A3D73" w:rsidP="007A3D73">
      <w:pPr>
        <w:pStyle w:val="Level2"/>
      </w:pPr>
      <w:r w:rsidRPr="00FC53DE">
        <w:t>The Vendor must describe in detail how the application hosting services are being proposed. This detail must include specifications and manufacturers of the System hardware, software, and network configuration being proposed.  Software must include release and version numbers.</w:t>
      </w:r>
    </w:p>
    <w:p w14:paraId="69E5BF1D" w14:textId="77777777" w:rsidR="007A3D73" w:rsidRPr="00FC53DE" w:rsidRDefault="007A3D73" w:rsidP="007A3D73">
      <w:pPr>
        <w:pStyle w:val="Level2"/>
      </w:pPr>
      <w:r w:rsidRPr="00FC53DE">
        <w:t xml:space="preserve">The host and network links must be configured with sufficient speed and capacity to drive the System </w:t>
      </w:r>
      <w:r>
        <w:t xml:space="preserve">(24x7) </w:t>
      </w:r>
      <w:r w:rsidR="00477EF3">
        <w:t>loaded with end-users.</w:t>
      </w:r>
    </w:p>
    <w:p w14:paraId="2DE1A676" w14:textId="77777777" w:rsidR="007A3D73" w:rsidRPr="00FC53DE" w:rsidRDefault="007A3D73" w:rsidP="007A3D73">
      <w:pPr>
        <w:pStyle w:val="Level2"/>
      </w:pPr>
      <w:r w:rsidRPr="00FC53DE">
        <w:t xml:space="preserve">The Vendor must specify the minimum and recommended PC workstation, operating software and browser specifications necessary for the Agency end-users to access the </w:t>
      </w:r>
      <w:r w:rsidR="00477EF3">
        <w:t>System.</w:t>
      </w:r>
    </w:p>
    <w:p w14:paraId="44BBB810" w14:textId="77777777" w:rsidR="007A3D73" w:rsidRPr="00FC53DE" w:rsidRDefault="007A3D73" w:rsidP="007A3D73">
      <w:pPr>
        <w:pStyle w:val="Level2"/>
      </w:pPr>
      <w:r w:rsidRPr="00FC53DE">
        <w:t>Vendor must address to what degree the System is able to accommodate PC workstations using Windows 7</w:t>
      </w:r>
      <w:r w:rsidR="00477EF3">
        <w:t xml:space="preserve"> </w:t>
      </w:r>
      <w:r>
        <w:t>and Windows 10</w:t>
      </w:r>
      <w:r w:rsidRPr="00FC53DE">
        <w:t xml:space="preserve"> operating systems. </w:t>
      </w:r>
    </w:p>
    <w:p w14:paraId="70910451" w14:textId="77777777" w:rsidR="007A3D73" w:rsidRPr="00FC53DE" w:rsidRDefault="007A3D73" w:rsidP="007A3D73">
      <w:pPr>
        <w:pStyle w:val="Level2"/>
      </w:pPr>
      <w:r w:rsidRPr="00FC53DE">
        <w:t>Vendor must identify the maximum number of concurrent users and describe the maximum system load that the standard host system will support.</w:t>
      </w:r>
    </w:p>
    <w:p w14:paraId="065F94B6" w14:textId="77777777" w:rsidR="007A3D73" w:rsidRPr="00FC53DE" w:rsidRDefault="007A3D73" w:rsidP="007A3D73">
      <w:pPr>
        <w:pStyle w:val="Level2"/>
      </w:pPr>
      <w:r w:rsidRPr="00FC53DE">
        <w:t xml:space="preserve">Vendor must afford the Agency with adequate </w:t>
      </w:r>
      <w:r>
        <w:t>hosting capacity</w:t>
      </w:r>
      <w:r w:rsidRPr="00FC53DE">
        <w:t xml:space="preserve"> that will support their present </w:t>
      </w:r>
      <w:r>
        <w:t>user</w:t>
      </w:r>
      <w:r w:rsidRPr="00FC53DE">
        <w:t xml:space="preserve"> level with expandability to accommodate a 50% growth over the life of the hosting agreement.</w:t>
      </w:r>
    </w:p>
    <w:p w14:paraId="1BD8B235" w14:textId="77777777" w:rsidR="007A3D73" w:rsidRPr="00FC53DE" w:rsidRDefault="007A3D73" w:rsidP="007A3D73">
      <w:pPr>
        <w:pStyle w:val="Level2"/>
      </w:pPr>
      <w:r w:rsidRPr="00FC53DE">
        <w:t>Vendor must complete daily backups of the system and indicate how often these backups are tested each year.</w:t>
      </w:r>
    </w:p>
    <w:p w14:paraId="6339558C" w14:textId="77777777" w:rsidR="007A3D73" w:rsidRPr="00FC53DE" w:rsidRDefault="007A3D73" w:rsidP="007A3D73">
      <w:pPr>
        <w:pStyle w:val="Level2"/>
      </w:pPr>
      <w:r w:rsidRPr="00FC53DE">
        <w:t xml:space="preserve">Vendor must </w:t>
      </w:r>
      <w:r>
        <w:t>include a Disaster Recovery Plan with Vendor’s proposal.  The State will work with the awarded vendor to develop a mutually a</w:t>
      </w:r>
      <w:r w:rsidRPr="00FC53DE">
        <w:t xml:space="preserve">greed upon </w:t>
      </w:r>
      <w:r>
        <w:t>D</w:t>
      </w:r>
      <w:r w:rsidRPr="00FC53DE">
        <w:t xml:space="preserve">isaster </w:t>
      </w:r>
      <w:r>
        <w:t>R</w:t>
      </w:r>
      <w:r w:rsidRPr="00FC53DE">
        <w:t xml:space="preserve">ecovery </w:t>
      </w:r>
      <w:r>
        <w:t>P</w:t>
      </w:r>
      <w:r w:rsidRPr="00FC53DE">
        <w:t>lan</w:t>
      </w:r>
      <w:r>
        <w:t xml:space="preserve"> which the Contractor will adhere to </w:t>
      </w:r>
      <w:r w:rsidRPr="00FC53DE">
        <w:t>as part of this project.</w:t>
      </w:r>
    </w:p>
    <w:p w14:paraId="2993C1D7" w14:textId="77777777" w:rsidR="007A3D73" w:rsidRPr="00FC53DE" w:rsidRDefault="007A3D73" w:rsidP="007A3D73">
      <w:pPr>
        <w:pStyle w:val="Level2"/>
      </w:pPr>
      <w:r w:rsidRPr="00FC53DE">
        <w:lastRenderedPageBreak/>
        <w:t>The Vendor must specify what degree of custom programming is being proposed in order for the hosted system to meet the requirements of this RFP.</w:t>
      </w:r>
    </w:p>
    <w:p w14:paraId="248010C0" w14:textId="77777777" w:rsidR="007A3D73" w:rsidRPr="00FC53DE" w:rsidRDefault="007A3D73" w:rsidP="007A3D73">
      <w:pPr>
        <w:pStyle w:val="Level2"/>
      </w:pPr>
      <w:r w:rsidRPr="00FC53DE">
        <w:t xml:space="preserve">Vendor must maintain the confidentiality of all </w:t>
      </w:r>
      <w:r>
        <w:t>Golf Management</w:t>
      </w:r>
      <w:r w:rsidRPr="00FC53DE">
        <w:t xml:space="preserve"> System information.  Vendor may only access or use this information in the course of providing services to the Agency.</w:t>
      </w:r>
    </w:p>
    <w:p w14:paraId="600F5FB4" w14:textId="77777777" w:rsidR="007A3D73" w:rsidRPr="00FC53DE" w:rsidRDefault="007A3D73" w:rsidP="007A3D73">
      <w:pPr>
        <w:pStyle w:val="Level2"/>
      </w:pPr>
      <w:r w:rsidRPr="00FC53DE">
        <w:t>Vendor must provide the System under a service level agreement with a guaranteed uptime of at least 99%, 24 hours a day by 7 days a week, subject to credits or refunds for uptime of less than the guaranteed availability. In the event that the Agency is unable to achieve the 99% application availability for a given month, Vendor shall reimburse Agency 25% of the monthly fee.</w:t>
      </w:r>
    </w:p>
    <w:p w14:paraId="48D760F2" w14:textId="77777777" w:rsidR="007A3D73" w:rsidRDefault="007A3D73" w:rsidP="007A3D73">
      <w:pPr>
        <w:pStyle w:val="Level2"/>
      </w:pPr>
      <w:r w:rsidRPr="00FC53DE">
        <w:t>Vendor must agree that upon termination or expiration of the awarded contract transition of operations from the Vendor to the Agency or to a successor will be accomplished at no expense to the Agency</w:t>
      </w:r>
      <w:r>
        <w:t>;</w:t>
      </w:r>
      <w:r w:rsidRPr="00FC53DE">
        <w:t xml:space="preserve"> with minimal interruption of the site’s accessibility</w:t>
      </w:r>
      <w:r>
        <w:t>; and,</w:t>
      </w:r>
      <w:r w:rsidRPr="00FC53DE">
        <w:t xml:space="preserve"> </w:t>
      </w:r>
      <w:r>
        <w:t>with</w:t>
      </w:r>
      <w:r w:rsidRPr="00FC53DE">
        <w:t xml:space="preserve"> insignificant changes in the site’s appearance and functionality. The System database, together with all work-products developed by the Vendor for the Agency including: screens, forms, reports, documents and web pages shall remain the property of the State and shall be transferred to the Agency upon contract termination. Vendor must fully describe th</w:t>
      </w:r>
      <w:r>
        <w:t>e transition</w:t>
      </w:r>
      <w:r w:rsidRPr="00FC53DE">
        <w:t xml:space="preserve"> process.</w:t>
      </w:r>
    </w:p>
    <w:p w14:paraId="09AEF49E" w14:textId="77777777" w:rsidR="007A3D73" w:rsidRDefault="007A3D73" w:rsidP="007A3D73">
      <w:pPr>
        <w:pStyle w:val="Level2"/>
      </w:pPr>
      <w:r>
        <w:t>Security</w:t>
      </w:r>
    </w:p>
    <w:p w14:paraId="17EAF691" w14:textId="77777777" w:rsidR="007A3D73" w:rsidRDefault="007A3D73" w:rsidP="007A3D73">
      <w:pPr>
        <w:pStyle w:val="Level3"/>
        <w:ind w:left="2880" w:hanging="1080"/>
        <w:jc w:val="both"/>
        <w:rPr>
          <w:rFonts w:ascii="Arial" w:hAnsi="Arial" w:cs="Arial"/>
          <w:sz w:val="22"/>
          <w:szCs w:val="22"/>
        </w:rPr>
      </w:pPr>
      <w:r w:rsidRPr="00737F5B">
        <w:rPr>
          <w:rFonts w:ascii="Arial" w:hAnsi="Arial" w:cs="Arial"/>
          <w:sz w:val="22"/>
          <w:szCs w:val="22"/>
        </w:rPr>
        <w:t xml:space="preserve">The Vendor must describe and explain what mechanisms are provided to </w:t>
      </w:r>
      <w:r>
        <w:rPr>
          <w:rFonts w:ascii="Arial" w:hAnsi="Arial" w:cs="Arial"/>
          <w:sz w:val="22"/>
          <w:szCs w:val="22"/>
        </w:rPr>
        <w:t>the State</w:t>
      </w:r>
      <w:r w:rsidRPr="00737F5B">
        <w:rPr>
          <w:rFonts w:ascii="Arial" w:hAnsi="Arial" w:cs="Arial"/>
          <w:sz w:val="22"/>
          <w:szCs w:val="22"/>
        </w:rPr>
        <w:t xml:space="preserve"> to monitor access to the cloud environment.</w:t>
      </w:r>
    </w:p>
    <w:p w14:paraId="2C01CFC0" w14:textId="77777777" w:rsidR="007A3D73" w:rsidRDefault="007A3D73" w:rsidP="007A3D73">
      <w:pPr>
        <w:pStyle w:val="Level3"/>
        <w:ind w:left="2880" w:hanging="1080"/>
        <w:jc w:val="both"/>
        <w:rPr>
          <w:rFonts w:ascii="Arial" w:hAnsi="Arial" w:cs="Arial"/>
          <w:sz w:val="22"/>
          <w:szCs w:val="22"/>
        </w:rPr>
      </w:pPr>
      <w:r>
        <w:rPr>
          <w:rFonts w:ascii="Arial" w:hAnsi="Arial" w:cs="Arial"/>
          <w:sz w:val="22"/>
          <w:szCs w:val="22"/>
        </w:rPr>
        <w:t>“Government cloud” or “dedicated cloud” is the minimum level of security required to store State assets in a cloud environment.  The Vendor must describe the cloud security level of the proposed solution.</w:t>
      </w:r>
    </w:p>
    <w:p w14:paraId="5C8BBFA1" w14:textId="77777777" w:rsidR="007A3D73" w:rsidRDefault="007A3D73" w:rsidP="007A3D73">
      <w:pPr>
        <w:pStyle w:val="Level3"/>
        <w:ind w:left="2880" w:hanging="1080"/>
        <w:jc w:val="both"/>
        <w:rPr>
          <w:rFonts w:ascii="Arial" w:hAnsi="Arial" w:cs="Arial"/>
          <w:sz w:val="22"/>
          <w:szCs w:val="22"/>
        </w:rPr>
      </w:pPr>
      <w:r>
        <w:rPr>
          <w:rFonts w:ascii="Arial" w:hAnsi="Arial" w:cs="Arial"/>
          <w:sz w:val="22"/>
          <w:szCs w:val="22"/>
        </w:rPr>
        <w:t>The Vendor must provide a private circuit or a virtual private connection to cloud-hosted servers and equipment.  The Vendor must describe the approach for the proposed solution.</w:t>
      </w:r>
    </w:p>
    <w:p w14:paraId="78437D3E" w14:textId="77777777" w:rsidR="007A3D73" w:rsidRDefault="007A3D73" w:rsidP="007A3D73">
      <w:pPr>
        <w:pStyle w:val="Level3"/>
        <w:ind w:left="2880" w:hanging="1080"/>
        <w:jc w:val="both"/>
        <w:rPr>
          <w:rFonts w:ascii="Arial" w:hAnsi="Arial" w:cs="Arial"/>
          <w:sz w:val="22"/>
          <w:szCs w:val="22"/>
        </w:rPr>
      </w:pPr>
      <w:r>
        <w:rPr>
          <w:rFonts w:ascii="Arial" w:hAnsi="Arial" w:cs="Arial"/>
          <w:sz w:val="22"/>
          <w:szCs w:val="22"/>
        </w:rPr>
        <w:t>Personal information obtained by the Vendor will become and remain the property of the State.  At no time will any information, belonging to, or intended for the State, be copied, disclosed, or retained by the Vendor, or any party related to the Vendor, for subsequent use in any transaction that does not include the State.  The Vendor may not use any personal information collected in connection with the service issued from this proposal for any purpose other than fulfilling the service.</w:t>
      </w:r>
    </w:p>
    <w:p w14:paraId="5028BA18" w14:textId="77777777" w:rsidR="007A3D73" w:rsidRDefault="007A3D73" w:rsidP="007A3D73">
      <w:pPr>
        <w:pStyle w:val="Level3"/>
        <w:ind w:left="2880" w:hanging="1080"/>
        <w:jc w:val="both"/>
        <w:rPr>
          <w:rFonts w:ascii="Arial" w:hAnsi="Arial" w:cs="Arial"/>
          <w:sz w:val="22"/>
          <w:szCs w:val="22"/>
        </w:rPr>
      </w:pPr>
      <w:r>
        <w:rPr>
          <w:rFonts w:ascii="Arial" w:hAnsi="Arial" w:cs="Arial"/>
          <w:sz w:val="22"/>
          <w:szCs w:val="22"/>
        </w:rPr>
        <w:t xml:space="preserve">If requested by the State, the Vendor must destroy all requested data in all of its forms, including but not limited to disk, CD, DVD, tape, and paper.  Data shall be destroyed according to the National </w:t>
      </w:r>
      <w:r>
        <w:rPr>
          <w:rFonts w:ascii="Arial" w:hAnsi="Arial" w:cs="Arial"/>
          <w:sz w:val="22"/>
          <w:szCs w:val="22"/>
        </w:rPr>
        <w:lastRenderedPageBreak/>
        <w:t>Institute of Standards and Technology (NIST) approved methods and certificates of destruction must be provided to the State.</w:t>
      </w:r>
    </w:p>
    <w:p w14:paraId="45780D40" w14:textId="77777777" w:rsidR="007A3D73" w:rsidRPr="008D61AE" w:rsidRDefault="007A3D73" w:rsidP="000825FA">
      <w:pPr>
        <w:pStyle w:val="Level3"/>
        <w:ind w:left="2880" w:hanging="1080"/>
        <w:jc w:val="both"/>
      </w:pPr>
      <w:r w:rsidRPr="008D61AE">
        <w:rPr>
          <w:rFonts w:ascii="Arial" w:hAnsi="Arial" w:cs="Arial"/>
          <w:sz w:val="22"/>
          <w:szCs w:val="22"/>
        </w:rPr>
        <w:t>In the event of termination of the contract, the Vendor shall implement an orderly return of State of Mississippi assets and the subsequent secure disposal of State of Mississippi assets.</w:t>
      </w:r>
    </w:p>
    <w:p w14:paraId="29A1249F" w14:textId="77777777" w:rsidR="007A3D73" w:rsidRPr="008D61AE" w:rsidRDefault="007A3D73" w:rsidP="000825FA">
      <w:pPr>
        <w:pStyle w:val="Level4"/>
        <w:jc w:val="both"/>
        <w:rPr>
          <w:rFonts w:ascii="Arial" w:hAnsi="Arial" w:cs="Arial"/>
          <w:sz w:val="22"/>
          <w:szCs w:val="22"/>
        </w:rPr>
      </w:pPr>
      <w:r w:rsidRPr="008D61AE">
        <w:rPr>
          <w:rFonts w:ascii="Arial" w:hAnsi="Arial" w:cs="Arial"/>
          <w:sz w:val="22"/>
          <w:szCs w:val="22"/>
        </w:rPr>
        <w:t xml:space="preserve">During any period of suspension, the </w:t>
      </w:r>
      <w:r>
        <w:rPr>
          <w:rFonts w:ascii="Arial" w:hAnsi="Arial" w:cs="Arial"/>
          <w:sz w:val="22"/>
          <w:szCs w:val="22"/>
        </w:rPr>
        <w:t xml:space="preserve">Vendor </w:t>
      </w:r>
      <w:r w:rsidRPr="008D61AE">
        <w:rPr>
          <w:rFonts w:ascii="Arial" w:hAnsi="Arial" w:cs="Arial"/>
          <w:sz w:val="22"/>
          <w:szCs w:val="22"/>
        </w:rPr>
        <w:t xml:space="preserve">will not take any action to intentionally erase any State of Mississippi </w:t>
      </w:r>
      <w:r>
        <w:rPr>
          <w:rFonts w:ascii="Arial" w:hAnsi="Arial" w:cs="Arial"/>
          <w:sz w:val="22"/>
          <w:szCs w:val="22"/>
        </w:rPr>
        <w:t>d</w:t>
      </w:r>
      <w:r w:rsidRPr="008D61AE">
        <w:rPr>
          <w:rFonts w:ascii="Arial" w:hAnsi="Arial" w:cs="Arial"/>
          <w:sz w:val="22"/>
          <w:szCs w:val="22"/>
        </w:rPr>
        <w:t>ata.</w:t>
      </w:r>
    </w:p>
    <w:p w14:paraId="2606AF78" w14:textId="77777777" w:rsidR="007A3D73" w:rsidRDefault="007A3D73" w:rsidP="007A3D73">
      <w:pPr>
        <w:pStyle w:val="Level4"/>
        <w:jc w:val="both"/>
        <w:rPr>
          <w:rFonts w:ascii="Arial" w:hAnsi="Arial" w:cs="Arial"/>
          <w:sz w:val="22"/>
          <w:szCs w:val="22"/>
        </w:rPr>
      </w:pPr>
      <w:r w:rsidRPr="008D61AE">
        <w:rPr>
          <w:rFonts w:ascii="Arial" w:hAnsi="Arial" w:cs="Arial"/>
          <w:sz w:val="22"/>
          <w:szCs w:val="22"/>
        </w:rPr>
        <w:t xml:space="preserve">In the event of termination of any services or agreement in entirety, the </w:t>
      </w:r>
      <w:r>
        <w:rPr>
          <w:rFonts w:ascii="Arial" w:hAnsi="Arial" w:cs="Arial"/>
          <w:sz w:val="22"/>
          <w:szCs w:val="22"/>
        </w:rPr>
        <w:t>Vendor</w:t>
      </w:r>
      <w:r w:rsidRPr="008D61AE">
        <w:rPr>
          <w:rFonts w:ascii="Arial" w:hAnsi="Arial" w:cs="Arial"/>
          <w:sz w:val="22"/>
          <w:szCs w:val="22"/>
        </w:rPr>
        <w:t xml:space="preserve"> will not take any action to intentionally erase any State of Mississippi Data for a period of 90 days after the effective date of the termination. After such 90 day period, the </w:t>
      </w:r>
      <w:r>
        <w:rPr>
          <w:rFonts w:ascii="Arial" w:hAnsi="Arial" w:cs="Arial"/>
          <w:sz w:val="22"/>
          <w:szCs w:val="22"/>
        </w:rPr>
        <w:t>Vendor</w:t>
      </w:r>
      <w:r w:rsidRPr="008D61AE">
        <w:rPr>
          <w:rFonts w:ascii="Arial" w:hAnsi="Arial" w:cs="Arial"/>
          <w:sz w:val="22"/>
          <w:szCs w:val="22"/>
        </w:rPr>
        <w:t xml:space="preserve"> shall have no obligation to maintain or provide any State of Mississippi </w:t>
      </w:r>
      <w:r>
        <w:rPr>
          <w:rFonts w:ascii="Arial" w:hAnsi="Arial" w:cs="Arial"/>
          <w:sz w:val="22"/>
          <w:szCs w:val="22"/>
        </w:rPr>
        <w:t>d</w:t>
      </w:r>
      <w:r w:rsidRPr="008D61AE">
        <w:rPr>
          <w:rFonts w:ascii="Arial" w:hAnsi="Arial" w:cs="Arial"/>
          <w:sz w:val="22"/>
          <w:szCs w:val="22"/>
        </w:rPr>
        <w:t xml:space="preserve">ata and shall thereafter, unless legally prohibited, delete all State of Mississippi </w:t>
      </w:r>
      <w:r>
        <w:rPr>
          <w:rFonts w:ascii="Arial" w:hAnsi="Arial" w:cs="Arial"/>
          <w:sz w:val="22"/>
          <w:szCs w:val="22"/>
        </w:rPr>
        <w:t>d</w:t>
      </w:r>
      <w:r w:rsidRPr="008D61AE">
        <w:rPr>
          <w:rFonts w:ascii="Arial" w:hAnsi="Arial" w:cs="Arial"/>
          <w:sz w:val="22"/>
          <w:szCs w:val="22"/>
        </w:rPr>
        <w:t>ata in its systems or otherwise in its possession or under its control.</w:t>
      </w:r>
    </w:p>
    <w:p w14:paraId="698661E9" w14:textId="77777777" w:rsidR="007A3D73" w:rsidRDefault="007A3D73" w:rsidP="007A3D73">
      <w:pPr>
        <w:pStyle w:val="Level4"/>
        <w:jc w:val="both"/>
        <w:rPr>
          <w:rFonts w:ascii="Arial" w:hAnsi="Arial" w:cs="Arial"/>
          <w:sz w:val="22"/>
          <w:szCs w:val="22"/>
        </w:rPr>
      </w:pPr>
      <w:r w:rsidRPr="008D61AE">
        <w:rPr>
          <w:rFonts w:ascii="Arial" w:hAnsi="Arial" w:cs="Arial"/>
          <w:sz w:val="22"/>
          <w:szCs w:val="22"/>
        </w:rPr>
        <w:t>The State of Mississippi shall be entitled to any post-termination assistance generally made available with respect to the Services unless a unique data retrieval arrangement has been established as part of the Service Level Agreement.</w:t>
      </w:r>
      <w:r>
        <w:rPr>
          <w:rFonts w:ascii="Arial" w:hAnsi="Arial" w:cs="Arial"/>
          <w:sz w:val="22"/>
          <w:szCs w:val="22"/>
        </w:rPr>
        <w:t xml:space="preserve">  Vendor must fully describe the termination assistance that will be made available.</w:t>
      </w:r>
    </w:p>
    <w:p w14:paraId="6367273F" w14:textId="77777777" w:rsidR="007A3D73" w:rsidRDefault="007A3D73" w:rsidP="007A3D73">
      <w:pPr>
        <w:pStyle w:val="Level3"/>
        <w:ind w:left="2880" w:hanging="1080"/>
        <w:jc w:val="both"/>
        <w:rPr>
          <w:rFonts w:ascii="Arial" w:hAnsi="Arial" w:cs="Arial"/>
          <w:sz w:val="22"/>
          <w:szCs w:val="22"/>
        </w:rPr>
      </w:pPr>
      <w:r w:rsidRPr="008D61AE">
        <w:rPr>
          <w:rFonts w:ascii="Arial" w:hAnsi="Arial" w:cs="Arial"/>
          <w:sz w:val="22"/>
          <w:szCs w:val="22"/>
        </w:rPr>
        <w:t>The Vendor</w:t>
      </w:r>
      <w:r>
        <w:rPr>
          <w:rFonts w:ascii="Arial" w:hAnsi="Arial" w:cs="Arial"/>
          <w:sz w:val="22"/>
          <w:szCs w:val="22"/>
        </w:rPr>
        <w:t xml:space="preserve"> shall not store or transfer State of Mississippi data outside the United States.</w:t>
      </w:r>
    </w:p>
    <w:p w14:paraId="0759828B" w14:textId="77777777" w:rsidR="007A3D73" w:rsidRDefault="007A3D73" w:rsidP="007A3D73">
      <w:pPr>
        <w:pStyle w:val="Level3"/>
        <w:ind w:left="2880" w:hanging="1080"/>
        <w:jc w:val="both"/>
        <w:rPr>
          <w:rFonts w:ascii="Arial" w:hAnsi="Arial" w:cs="Arial"/>
          <w:sz w:val="22"/>
          <w:szCs w:val="22"/>
        </w:rPr>
      </w:pPr>
      <w:r>
        <w:rPr>
          <w:rFonts w:ascii="Arial" w:hAnsi="Arial" w:cs="Arial"/>
          <w:sz w:val="22"/>
          <w:szCs w:val="22"/>
        </w:rPr>
        <w:t>The Vendor shall meet MDWFP’s existing data retention requirements for the records being stored.</w:t>
      </w:r>
    </w:p>
    <w:p w14:paraId="0FF1BC21" w14:textId="77777777" w:rsidR="007A3D73" w:rsidRPr="00C34C6D" w:rsidRDefault="007A3D73" w:rsidP="007A3D73">
      <w:pPr>
        <w:pStyle w:val="Level3"/>
        <w:ind w:left="2880" w:hanging="1080"/>
        <w:jc w:val="both"/>
        <w:rPr>
          <w:rFonts w:ascii="Arial" w:hAnsi="Arial" w:cs="Arial"/>
          <w:sz w:val="22"/>
          <w:szCs w:val="22"/>
        </w:rPr>
      </w:pPr>
      <w:r w:rsidRPr="00C34C6D">
        <w:rPr>
          <w:rFonts w:ascii="Arial" w:hAnsi="Arial" w:cs="Arial"/>
          <w:sz w:val="22"/>
          <w:szCs w:val="22"/>
        </w:rPr>
        <w:t>The Vendor must inform the State of any security breach or detection of any suspicious intrusion that is or has occurred that jeopardizes the State of Mississippi data or processes. This notice must be given to the State within 24 hours of its discovery. Full disclosure of the assets that might have been jeopardized must be made. In addition, the Vendor must inform the State of the actions it is taking or will take to reduce the risk of further loss to the State. If the breach requires public notification, all communication shall be coordinated with the State.</w:t>
      </w:r>
      <w:r>
        <w:rPr>
          <w:rFonts w:ascii="Arial" w:hAnsi="Arial" w:cs="Arial"/>
          <w:sz w:val="22"/>
          <w:szCs w:val="22"/>
        </w:rPr>
        <w:t xml:space="preserve">  Vendor must fully describe the proposed breach management resolution process.</w:t>
      </w:r>
    </w:p>
    <w:p w14:paraId="47CB0937" w14:textId="77777777" w:rsidR="007A3D73" w:rsidRPr="00050892" w:rsidRDefault="007A3D73" w:rsidP="007A3D73">
      <w:pPr>
        <w:pStyle w:val="Level3"/>
        <w:ind w:left="2880" w:hanging="1080"/>
        <w:jc w:val="both"/>
        <w:rPr>
          <w:rFonts w:ascii="Arial" w:hAnsi="Arial" w:cs="Arial"/>
          <w:sz w:val="22"/>
          <w:szCs w:val="22"/>
        </w:rPr>
      </w:pPr>
      <w:r w:rsidRPr="00050892">
        <w:rPr>
          <w:rFonts w:ascii="Arial" w:hAnsi="Arial" w:cs="Arial"/>
          <w:sz w:val="22"/>
          <w:szCs w:val="22"/>
        </w:rPr>
        <w:t>Vendor must encrypt all data in transit to the cloud.</w:t>
      </w:r>
    </w:p>
    <w:p w14:paraId="532D6AE8" w14:textId="77777777" w:rsidR="007A3D73" w:rsidRPr="00050892" w:rsidRDefault="007A3D73" w:rsidP="007A3D73">
      <w:pPr>
        <w:pStyle w:val="Level4"/>
        <w:jc w:val="both"/>
        <w:rPr>
          <w:rFonts w:ascii="Arial" w:hAnsi="Arial" w:cs="Arial"/>
          <w:sz w:val="22"/>
          <w:szCs w:val="22"/>
        </w:rPr>
      </w:pPr>
      <w:r w:rsidRPr="00050892">
        <w:rPr>
          <w:rFonts w:ascii="Arial" w:hAnsi="Arial" w:cs="Arial"/>
          <w:sz w:val="22"/>
          <w:szCs w:val="22"/>
        </w:rPr>
        <w:t xml:space="preserve">The Vendor must describe the method of transport for logs between the log collector and the cloud service.  If </w:t>
      </w:r>
      <w:r w:rsidRPr="00050892">
        <w:rPr>
          <w:rFonts w:ascii="Arial" w:hAnsi="Arial" w:cs="Arial"/>
          <w:sz w:val="22"/>
          <w:szCs w:val="22"/>
        </w:rPr>
        <w:lastRenderedPageBreak/>
        <w:t>it is VPN, is the data encrypted all the way from the log collector to the log receiving system (not just the service provider VPN termination point).  The Vendor must describe the protocol used to send the logs across the VPN tunnel and describe whether it is possible to utilize an encrypted protocol across the tunnel.</w:t>
      </w:r>
    </w:p>
    <w:p w14:paraId="106B1DA7" w14:textId="77777777" w:rsidR="007A3D73" w:rsidRPr="00B211C7" w:rsidRDefault="007A3D73" w:rsidP="007A3D73">
      <w:pPr>
        <w:pStyle w:val="Level3"/>
        <w:ind w:left="2880" w:hanging="1080"/>
        <w:jc w:val="both"/>
        <w:rPr>
          <w:rFonts w:ascii="Arial" w:hAnsi="Arial" w:cs="Arial"/>
          <w:sz w:val="22"/>
          <w:szCs w:val="22"/>
        </w:rPr>
      </w:pPr>
      <w:r w:rsidRPr="00B211C7">
        <w:rPr>
          <w:rFonts w:ascii="Arial" w:hAnsi="Arial" w:cs="Arial"/>
          <w:sz w:val="22"/>
          <w:szCs w:val="22"/>
        </w:rPr>
        <w:t>The Vendor must provide to the State a description of their roles and responsibilities related to electronic discovery, litigation holds, discovery searches, and expert testimonies. The Vendor must disclose its process for responding to subpoenas, service of process, and other legal requests.</w:t>
      </w:r>
    </w:p>
    <w:p w14:paraId="785D3B33" w14:textId="77777777" w:rsidR="007A3D73" w:rsidRPr="00B211C7" w:rsidRDefault="007A3D73" w:rsidP="007A3D73">
      <w:pPr>
        <w:pStyle w:val="Level3"/>
        <w:ind w:left="2880" w:hanging="1080"/>
        <w:jc w:val="both"/>
        <w:rPr>
          <w:rFonts w:ascii="Arial" w:hAnsi="Arial" w:cs="Arial"/>
          <w:sz w:val="22"/>
          <w:szCs w:val="22"/>
        </w:rPr>
      </w:pPr>
      <w:r w:rsidRPr="00B211C7">
        <w:rPr>
          <w:rFonts w:ascii="Arial" w:hAnsi="Arial" w:cs="Arial"/>
          <w:sz w:val="22"/>
          <w:szCs w:val="22"/>
        </w:rPr>
        <w:t>The Vendor will make the State’s data and processes available to third parties only with the express written permission of the State.</w:t>
      </w:r>
    </w:p>
    <w:p w14:paraId="2BB501D3" w14:textId="77777777" w:rsidR="007A3D73" w:rsidRPr="00B211C7" w:rsidRDefault="007A3D73" w:rsidP="007A3D73">
      <w:pPr>
        <w:pStyle w:val="Level3"/>
        <w:ind w:left="2880" w:hanging="1080"/>
        <w:jc w:val="both"/>
        <w:rPr>
          <w:rFonts w:ascii="Arial" w:hAnsi="Arial" w:cs="Arial"/>
          <w:sz w:val="22"/>
          <w:szCs w:val="22"/>
        </w:rPr>
      </w:pPr>
      <w:r w:rsidRPr="00B211C7">
        <w:rPr>
          <w:rFonts w:ascii="Arial" w:hAnsi="Arial" w:cs="Arial"/>
          <w:sz w:val="22"/>
          <w:szCs w:val="22"/>
        </w:rPr>
        <w:t>The Vendor must:</w:t>
      </w:r>
    </w:p>
    <w:p w14:paraId="5A13BD83" w14:textId="77777777" w:rsidR="007A3D73" w:rsidRPr="00B211C7" w:rsidRDefault="007A3D73" w:rsidP="007A3D73">
      <w:pPr>
        <w:pStyle w:val="Level3"/>
        <w:numPr>
          <w:ilvl w:val="0"/>
          <w:numId w:val="24"/>
        </w:numPr>
        <w:jc w:val="both"/>
        <w:rPr>
          <w:rFonts w:ascii="Arial" w:hAnsi="Arial" w:cs="Arial"/>
          <w:sz w:val="22"/>
          <w:szCs w:val="22"/>
        </w:rPr>
      </w:pPr>
      <w:r w:rsidRPr="00B211C7">
        <w:rPr>
          <w:rFonts w:ascii="Arial" w:hAnsi="Arial" w:cs="Arial"/>
          <w:sz w:val="22"/>
          <w:szCs w:val="22"/>
        </w:rPr>
        <w:t>Ensure that State of Mississippi information is protected with reasonable security measures</w:t>
      </w:r>
      <w:r>
        <w:rPr>
          <w:rFonts w:ascii="Arial" w:hAnsi="Arial" w:cs="Arial"/>
          <w:sz w:val="22"/>
          <w:szCs w:val="22"/>
        </w:rPr>
        <w:t>;</w:t>
      </w:r>
    </w:p>
    <w:p w14:paraId="425A3DD4" w14:textId="77777777" w:rsidR="007A3D73" w:rsidRPr="00B211C7" w:rsidRDefault="007A3D73" w:rsidP="007A3D73">
      <w:pPr>
        <w:pStyle w:val="Level3"/>
        <w:numPr>
          <w:ilvl w:val="0"/>
          <w:numId w:val="24"/>
        </w:numPr>
        <w:jc w:val="both"/>
        <w:rPr>
          <w:rFonts w:ascii="Arial" w:hAnsi="Arial" w:cs="Arial"/>
          <w:sz w:val="22"/>
          <w:szCs w:val="22"/>
        </w:rPr>
      </w:pPr>
      <w:r w:rsidRPr="00B211C7">
        <w:rPr>
          <w:rFonts w:ascii="Arial" w:hAnsi="Arial" w:cs="Arial"/>
          <w:sz w:val="22"/>
          <w:szCs w:val="22"/>
        </w:rPr>
        <w:t>Promote and maintain</w:t>
      </w:r>
      <w:r>
        <w:rPr>
          <w:rFonts w:ascii="Arial" w:hAnsi="Arial" w:cs="Arial"/>
          <w:sz w:val="22"/>
          <w:szCs w:val="22"/>
        </w:rPr>
        <w:t>,</w:t>
      </w:r>
      <w:r w:rsidRPr="00B211C7">
        <w:rPr>
          <w:rFonts w:ascii="Arial" w:hAnsi="Arial" w:cs="Arial"/>
          <w:sz w:val="22"/>
          <w:szCs w:val="22"/>
        </w:rPr>
        <w:t xml:space="preserve"> among Vendor’s employees and agents</w:t>
      </w:r>
      <w:r>
        <w:rPr>
          <w:rFonts w:ascii="Arial" w:hAnsi="Arial" w:cs="Arial"/>
          <w:sz w:val="22"/>
          <w:szCs w:val="22"/>
        </w:rPr>
        <w:t>,</w:t>
      </w:r>
      <w:r w:rsidRPr="00B211C7">
        <w:rPr>
          <w:rFonts w:ascii="Arial" w:hAnsi="Arial" w:cs="Arial"/>
          <w:sz w:val="22"/>
          <w:szCs w:val="22"/>
        </w:rPr>
        <w:t xml:space="preserve"> an awareness of the security needs of the State's information</w:t>
      </w:r>
      <w:r>
        <w:rPr>
          <w:rFonts w:ascii="Arial" w:hAnsi="Arial" w:cs="Arial"/>
          <w:sz w:val="22"/>
          <w:szCs w:val="22"/>
        </w:rPr>
        <w:t>;</w:t>
      </w:r>
    </w:p>
    <w:p w14:paraId="1B02D5CB" w14:textId="77777777" w:rsidR="007A3D73" w:rsidRPr="00B211C7" w:rsidRDefault="007A3D73" w:rsidP="007A3D73">
      <w:pPr>
        <w:pStyle w:val="Level3"/>
        <w:numPr>
          <w:ilvl w:val="0"/>
          <w:numId w:val="24"/>
        </w:numPr>
        <w:jc w:val="both"/>
        <w:rPr>
          <w:rFonts w:ascii="Arial" w:hAnsi="Arial" w:cs="Arial"/>
          <w:sz w:val="22"/>
          <w:szCs w:val="22"/>
        </w:rPr>
      </w:pPr>
      <w:r w:rsidRPr="00B211C7">
        <w:rPr>
          <w:rFonts w:ascii="Arial" w:hAnsi="Arial" w:cs="Arial"/>
          <w:sz w:val="22"/>
          <w:szCs w:val="22"/>
        </w:rPr>
        <w:t>Safeguard the confidentiality, integrity, and av</w:t>
      </w:r>
      <w:r>
        <w:rPr>
          <w:rFonts w:ascii="Arial" w:hAnsi="Arial" w:cs="Arial"/>
          <w:sz w:val="22"/>
          <w:szCs w:val="22"/>
        </w:rPr>
        <w:t>ailability of State information; and</w:t>
      </w:r>
    </w:p>
    <w:p w14:paraId="56D0962D" w14:textId="77777777" w:rsidR="007A3D73" w:rsidRPr="00B211C7" w:rsidRDefault="007A3D73" w:rsidP="007A3D73">
      <w:pPr>
        <w:pStyle w:val="Level3"/>
        <w:numPr>
          <w:ilvl w:val="0"/>
          <w:numId w:val="24"/>
        </w:numPr>
        <w:jc w:val="both"/>
        <w:rPr>
          <w:rFonts w:ascii="Arial" w:hAnsi="Arial" w:cs="Arial"/>
          <w:sz w:val="22"/>
          <w:szCs w:val="22"/>
        </w:rPr>
      </w:pPr>
      <w:r w:rsidRPr="00B211C7">
        <w:rPr>
          <w:rFonts w:ascii="Arial" w:hAnsi="Arial" w:cs="Arial"/>
          <w:sz w:val="22"/>
          <w:szCs w:val="22"/>
        </w:rPr>
        <w:t>Ensure that appropriate security measures are put in place to protect the Vendor's internal systems from intrusions and other attacks.</w:t>
      </w:r>
    </w:p>
    <w:p w14:paraId="1B1E167D" w14:textId="77777777" w:rsidR="007A3D73" w:rsidRDefault="007A3D73" w:rsidP="007A3D73">
      <w:pPr>
        <w:pStyle w:val="Level3"/>
        <w:ind w:left="2880" w:hanging="1080"/>
        <w:jc w:val="both"/>
        <w:rPr>
          <w:rFonts w:ascii="Arial" w:hAnsi="Arial" w:cs="Arial"/>
          <w:sz w:val="22"/>
          <w:szCs w:val="22"/>
        </w:rPr>
      </w:pPr>
      <w:r>
        <w:rPr>
          <w:rFonts w:ascii="Arial" w:hAnsi="Arial" w:cs="Arial"/>
          <w:sz w:val="22"/>
          <w:szCs w:val="22"/>
        </w:rPr>
        <w:t>The Vendor must</w:t>
      </w:r>
      <w:r w:rsidRPr="00B211C7">
        <w:rPr>
          <w:rFonts w:ascii="Arial" w:hAnsi="Arial" w:cs="Arial"/>
          <w:sz w:val="22"/>
          <w:szCs w:val="22"/>
        </w:rPr>
        <w:t xml:space="preserve"> not utilize any staff (including sub-contractors) to fulfill the obligations of the contract who has been convicted of a felony or class A misdemeanor.</w:t>
      </w:r>
    </w:p>
    <w:p w14:paraId="6C518097" w14:textId="77777777" w:rsidR="007A3D73" w:rsidRPr="00E7408F" w:rsidRDefault="007A3D73" w:rsidP="007A3D73">
      <w:pPr>
        <w:pStyle w:val="Level3"/>
        <w:ind w:left="2880" w:hanging="1080"/>
        <w:jc w:val="both"/>
        <w:rPr>
          <w:rFonts w:ascii="Arial" w:hAnsi="Arial" w:cs="Arial"/>
          <w:sz w:val="22"/>
          <w:szCs w:val="22"/>
        </w:rPr>
      </w:pPr>
      <w:r>
        <w:rPr>
          <w:rFonts w:ascii="Arial" w:hAnsi="Arial" w:cs="Arial"/>
          <w:sz w:val="22"/>
          <w:szCs w:val="22"/>
        </w:rPr>
        <w:t>The Vendor must</w:t>
      </w:r>
      <w:r w:rsidRPr="00E7408F">
        <w:rPr>
          <w:rFonts w:ascii="Arial" w:hAnsi="Arial" w:cs="Arial"/>
          <w:sz w:val="22"/>
          <w:szCs w:val="22"/>
        </w:rPr>
        <w:t xml:space="preserve"> not access </w:t>
      </w:r>
      <w:r>
        <w:rPr>
          <w:rFonts w:ascii="Arial" w:hAnsi="Arial" w:cs="Arial"/>
          <w:sz w:val="22"/>
          <w:szCs w:val="22"/>
        </w:rPr>
        <w:t>State</w:t>
      </w:r>
      <w:r w:rsidRPr="00E7408F">
        <w:rPr>
          <w:rFonts w:ascii="Arial" w:hAnsi="Arial" w:cs="Arial"/>
          <w:sz w:val="22"/>
          <w:szCs w:val="22"/>
        </w:rPr>
        <w:t xml:space="preserve"> </w:t>
      </w:r>
      <w:r>
        <w:rPr>
          <w:rFonts w:ascii="Arial" w:hAnsi="Arial" w:cs="Arial"/>
          <w:sz w:val="22"/>
          <w:szCs w:val="22"/>
        </w:rPr>
        <w:t>u</w:t>
      </w:r>
      <w:r w:rsidRPr="00E7408F">
        <w:rPr>
          <w:rFonts w:ascii="Arial" w:hAnsi="Arial" w:cs="Arial"/>
          <w:sz w:val="22"/>
          <w:szCs w:val="22"/>
        </w:rPr>
        <w:t xml:space="preserve">ser accounts, or State of Mississippi </w:t>
      </w:r>
      <w:r>
        <w:rPr>
          <w:rFonts w:ascii="Arial" w:hAnsi="Arial" w:cs="Arial"/>
          <w:sz w:val="22"/>
          <w:szCs w:val="22"/>
        </w:rPr>
        <w:t>d</w:t>
      </w:r>
      <w:r w:rsidRPr="00E7408F">
        <w:rPr>
          <w:rFonts w:ascii="Arial" w:hAnsi="Arial" w:cs="Arial"/>
          <w:sz w:val="22"/>
          <w:szCs w:val="22"/>
        </w:rPr>
        <w:t xml:space="preserve">ata, except (i) in the course of data center operations, (ii) </w:t>
      </w:r>
      <w:r>
        <w:rPr>
          <w:rFonts w:ascii="Arial" w:hAnsi="Arial" w:cs="Arial"/>
          <w:sz w:val="22"/>
          <w:szCs w:val="22"/>
        </w:rPr>
        <w:t xml:space="preserve">in </w:t>
      </w:r>
      <w:r w:rsidRPr="00E7408F">
        <w:rPr>
          <w:rFonts w:ascii="Arial" w:hAnsi="Arial" w:cs="Arial"/>
          <w:sz w:val="22"/>
          <w:szCs w:val="22"/>
        </w:rPr>
        <w:t>response to service or technical issues</w:t>
      </w:r>
      <w:r>
        <w:rPr>
          <w:rFonts w:ascii="Arial" w:hAnsi="Arial" w:cs="Arial"/>
          <w:sz w:val="22"/>
          <w:szCs w:val="22"/>
        </w:rPr>
        <w:t>,</w:t>
      </w:r>
      <w:r w:rsidRPr="00E7408F">
        <w:rPr>
          <w:rFonts w:ascii="Arial" w:hAnsi="Arial" w:cs="Arial"/>
          <w:sz w:val="22"/>
          <w:szCs w:val="22"/>
        </w:rPr>
        <w:t xml:space="preserve"> or (iii) at </w:t>
      </w:r>
      <w:r>
        <w:rPr>
          <w:rFonts w:ascii="Arial" w:hAnsi="Arial" w:cs="Arial"/>
          <w:sz w:val="22"/>
          <w:szCs w:val="22"/>
        </w:rPr>
        <w:t>the State</w:t>
      </w:r>
      <w:r w:rsidRPr="00E7408F">
        <w:rPr>
          <w:rFonts w:ascii="Arial" w:hAnsi="Arial" w:cs="Arial"/>
          <w:sz w:val="22"/>
          <w:szCs w:val="22"/>
        </w:rPr>
        <w:t>’s written request.</w:t>
      </w:r>
    </w:p>
    <w:p w14:paraId="0DBF1021" w14:textId="77777777" w:rsidR="007A3D73" w:rsidRPr="00050892" w:rsidRDefault="007A3D73" w:rsidP="007A3D73">
      <w:pPr>
        <w:pStyle w:val="Level3"/>
        <w:ind w:left="2880" w:hanging="1080"/>
        <w:jc w:val="both"/>
        <w:rPr>
          <w:rFonts w:ascii="Arial" w:hAnsi="Arial" w:cs="Arial"/>
          <w:sz w:val="22"/>
          <w:szCs w:val="22"/>
        </w:rPr>
      </w:pPr>
      <w:r w:rsidRPr="00050892">
        <w:rPr>
          <w:rFonts w:ascii="Arial" w:hAnsi="Arial" w:cs="Arial"/>
          <w:sz w:val="22"/>
          <w:szCs w:val="22"/>
        </w:rPr>
        <w:t xml:space="preserve">The </w:t>
      </w:r>
      <w:r>
        <w:rPr>
          <w:rFonts w:ascii="Arial" w:hAnsi="Arial" w:cs="Arial"/>
          <w:sz w:val="22"/>
          <w:szCs w:val="22"/>
        </w:rPr>
        <w:t>Vendor</w:t>
      </w:r>
      <w:r w:rsidRPr="00050892">
        <w:rPr>
          <w:rFonts w:ascii="Arial" w:hAnsi="Arial" w:cs="Arial"/>
          <w:sz w:val="22"/>
          <w:szCs w:val="22"/>
        </w:rPr>
        <w:t xml:space="preserve"> must allow the State of Mississippi access to system logs, latency statistics,</w:t>
      </w:r>
      <w:r>
        <w:rPr>
          <w:rFonts w:ascii="Arial" w:hAnsi="Arial" w:cs="Arial"/>
          <w:sz w:val="22"/>
          <w:szCs w:val="22"/>
        </w:rPr>
        <w:t xml:space="preserve"> and</w:t>
      </w:r>
      <w:r w:rsidRPr="00050892">
        <w:rPr>
          <w:rFonts w:ascii="Arial" w:hAnsi="Arial" w:cs="Arial"/>
          <w:sz w:val="22"/>
          <w:szCs w:val="22"/>
        </w:rPr>
        <w:t xml:space="preserve"> etc. that affect its data and or processes.</w:t>
      </w:r>
    </w:p>
    <w:p w14:paraId="75DA6B6C" w14:textId="77777777" w:rsidR="007A3D73" w:rsidRPr="00050892" w:rsidRDefault="007A3D73" w:rsidP="007A3D73">
      <w:pPr>
        <w:pStyle w:val="Level3"/>
        <w:ind w:left="2880" w:hanging="1080"/>
        <w:jc w:val="both"/>
        <w:rPr>
          <w:rFonts w:ascii="Arial" w:hAnsi="Arial" w:cs="Arial"/>
          <w:sz w:val="22"/>
          <w:szCs w:val="22"/>
        </w:rPr>
      </w:pPr>
      <w:r>
        <w:rPr>
          <w:rFonts w:ascii="Arial" w:hAnsi="Arial" w:cs="Arial"/>
          <w:sz w:val="22"/>
          <w:szCs w:val="22"/>
        </w:rPr>
        <w:t>The Vendor</w:t>
      </w:r>
      <w:r w:rsidRPr="00050892">
        <w:rPr>
          <w:rFonts w:ascii="Arial" w:hAnsi="Arial" w:cs="Arial"/>
          <w:sz w:val="22"/>
          <w:szCs w:val="22"/>
        </w:rPr>
        <w:t xml:space="preserve"> must have annual third party security assessments of the service offering managed and directed by </w:t>
      </w:r>
      <w:r>
        <w:rPr>
          <w:rFonts w:ascii="Arial" w:hAnsi="Arial" w:cs="Arial"/>
          <w:sz w:val="22"/>
          <w:szCs w:val="22"/>
        </w:rPr>
        <w:t>the Vendor</w:t>
      </w:r>
      <w:r w:rsidRPr="00050892">
        <w:rPr>
          <w:rFonts w:ascii="Arial" w:hAnsi="Arial" w:cs="Arial"/>
          <w:sz w:val="22"/>
          <w:szCs w:val="22"/>
        </w:rPr>
        <w:t xml:space="preserve">.  Annually, </w:t>
      </w:r>
      <w:r>
        <w:rPr>
          <w:rFonts w:ascii="Arial" w:hAnsi="Arial" w:cs="Arial"/>
          <w:sz w:val="22"/>
          <w:szCs w:val="22"/>
        </w:rPr>
        <w:t>the Vendor</w:t>
      </w:r>
      <w:r w:rsidRPr="00050892">
        <w:rPr>
          <w:rFonts w:ascii="Arial" w:hAnsi="Arial" w:cs="Arial"/>
          <w:sz w:val="22"/>
          <w:szCs w:val="22"/>
        </w:rPr>
        <w:t xml:space="preserve"> shall provide confirmation</w:t>
      </w:r>
      <w:r>
        <w:rPr>
          <w:rFonts w:ascii="Arial" w:hAnsi="Arial" w:cs="Arial"/>
          <w:sz w:val="22"/>
          <w:szCs w:val="22"/>
        </w:rPr>
        <w:t xml:space="preserve"> to the State</w:t>
      </w:r>
      <w:r w:rsidRPr="00050892">
        <w:rPr>
          <w:rFonts w:ascii="Arial" w:hAnsi="Arial" w:cs="Arial"/>
          <w:sz w:val="22"/>
          <w:szCs w:val="22"/>
        </w:rPr>
        <w:t xml:space="preserve"> that the third party security assessment was performed, including confirmation that vulnerabilities resulting from a third party </w:t>
      </w:r>
      <w:r w:rsidRPr="00050892">
        <w:rPr>
          <w:rFonts w:ascii="Arial" w:hAnsi="Arial" w:cs="Arial"/>
          <w:sz w:val="22"/>
          <w:szCs w:val="22"/>
        </w:rPr>
        <w:lastRenderedPageBreak/>
        <w:t xml:space="preserve">assessment </w:t>
      </w:r>
      <w:r>
        <w:rPr>
          <w:rFonts w:ascii="Arial" w:hAnsi="Arial" w:cs="Arial"/>
          <w:sz w:val="22"/>
          <w:szCs w:val="22"/>
        </w:rPr>
        <w:t>have</w:t>
      </w:r>
      <w:r w:rsidRPr="00050892">
        <w:rPr>
          <w:rFonts w:ascii="Arial" w:hAnsi="Arial" w:cs="Arial"/>
          <w:sz w:val="22"/>
          <w:szCs w:val="22"/>
        </w:rPr>
        <w:t xml:space="preserve"> been mitigated.</w:t>
      </w:r>
      <w:r>
        <w:rPr>
          <w:rFonts w:ascii="Arial" w:hAnsi="Arial" w:cs="Arial"/>
          <w:sz w:val="22"/>
          <w:szCs w:val="22"/>
        </w:rPr>
        <w:t xml:space="preserve">  The Vendor must include the cost, if any, in Section VIII, </w:t>
      </w:r>
      <w:r w:rsidRPr="00050892">
        <w:rPr>
          <w:rFonts w:ascii="Arial" w:hAnsi="Arial" w:cs="Arial"/>
          <w:i/>
          <w:sz w:val="22"/>
          <w:szCs w:val="22"/>
        </w:rPr>
        <w:t>Cost Information Submission</w:t>
      </w:r>
      <w:r>
        <w:rPr>
          <w:rFonts w:ascii="Arial" w:hAnsi="Arial" w:cs="Arial"/>
          <w:sz w:val="22"/>
          <w:szCs w:val="22"/>
        </w:rPr>
        <w:t>.</w:t>
      </w:r>
    </w:p>
    <w:p w14:paraId="5757F93B" w14:textId="77777777" w:rsidR="007A3D73" w:rsidRPr="00050892" w:rsidRDefault="007A3D73" w:rsidP="007A3D73">
      <w:pPr>
        <w:pStyle w:val="Level3"/>
        <w:ind w:left="2880" w:hanging="1080"/>
        <w:jc w:val="both"/>
        <w:rPr>
          <w:rFonts w:ascii="Arial" w:hAnsi="Arial" w:cs="Arial"/>
          <w:sz w:val="22"/>
          <w:szCs w:val="22"/>
        </w:rPr>
      </w:pPr>
      <w:r w:rsidRPr="00050892">
        <w:rPr>
          <w:rFonts w:ascii="Arial" w:hAnsi="Arial" w:cs="Arial"/>
          <w:sz w:val="22"/>
          <w:szCs w:val="22"/>
        </w:rPr>
        <w:t xml:space="preserve">Advance notice must be given to </w:t>
      </w:r>
      <w:r>
        <w:rPr>
          <w:rFonts w:ascii="Arial" w:hAnsi="Arial" w:cs="Arial"/>
          <w:sz w:val="22"/>
          <w:szCs w:val="22"/>
        </w:rPr>
        <w:t>the State</w:t>
      </w:r>
      <w:r w:rsidRPr="00050892">
        <w:rPr>
          <w:rFonts w:ascii="Arial" w:hAnsi="Arial" w:cs="Arial"/>
          <w:sz w:val="22"/>
          <w:szCs w:val="22"/>
        </w:rPr>
        <w:t xml:space="preserve"> of any major upgrades or system changes that </w:t>
      </w:r>
      <w:r>
        <w:rPr>
          <w:rFonts w:ascii="Arial" w:hAnsi="Arial" w:cs="Arial"/>
          <w:sz w:val="22"/>
          <w:szCs w:val="22"/>
        </w:rPr>
        <w:t>the Vendor</w:t>
      </w:r>
      <w:r w:rsidRPr="00050892">
        <w:rPr>
          <w:rFonts w:ascii="Arial" w:hAnsi="Arial" w:cs="Arial"/>
          <w:sz w:val="22"/>
          <w:szCs w:val="22"/>
        </w:rPr>
        <w:t xml:space="preserve"> will be performing.</w:t>
      </w:r>
      <w:r>
        <w:rPr>
          <w:rFonts w:ascii="Arial" w:hAnsi="Arial" w:cs="Arial"/>
          <w:sz w:val="22"/>
          <w:szCs w:val="22"/>
        </w:rPr>
        <w:t xml:space="preserve">  The mutually agreed upon amount of notice to be given will be determined during contract negotiations.  Vendor should include details explaining Vendor’s process for performing system maintenance and upgrades, as well as their process for notifying customers, in response to this requirement.</w:t>
      </w:r>
    </w:p>
    <w:p w14:paraId="650134F5" w14:textId="77777777" w:rsidR="007A3D73" w:rsidRPr="00050892" w:rsidRDefault="007A3D73" w:rsidP="007A3D73">
      <w:pPr>
        <w:pStyle w:val="Level3"/>
        <w:ind w:left="2880" w:hanging="1080"/>
        <w:jc w:val="both"/>
        <w:rPr>
          <w:rFonts w:ascii="Arial" w:hAnsi="Arial" w:cs="Arial"/>
          <w:sz w:val="22"/>
          <w:szCs w:val="22"/>
        </w:rPr>
      </w:pPr>
      <w:r w:rsidRPr="00050892">
        <w:rPr>
          <w:rFonts w:ascii="Arial" w:hAnsi="Arial" w:cs="Arial"/>
          <w:sz w:val="22"/>
          <w:szCs w:val="22"/>
        </w:rPr>
        <w:t xml:space="preserve">The </w:t>
      </w:r>
      <w:r>
        <w:rPr>
          <w:rFonts w:ascii="Arial" w:hAnsi="Arial" w:cs="Arial"/>
          <w:sz w:val="22"/>
          <w:szCs w:val="22"/>
        </w:rPr>
        <w:t>Vendor must</w:t>
      </w:r>
      <w:r w:rsidRPr="00050892">
        <w:rPr>
          <w:rFonts w:ascii="Arial" w:hAnsi="Arial" w:cs="Arial"/>
          <w:sz w:val="22"/>
          <w:szCs w:val="22"/>
        </w:rPr>
        <w:t xml:space="preserve"> disclose its security processes and technical limitations to the State of Mississippi such that adequate protection and flexibility can be attained between the State of Mississippi’s and the </w:t>
      </w:r>
      <w:r>
        <w:rPr>
          <w:rFonts w:ascii="Arial" w:hAnsi="Arial" w:cs="Arial"/>
          <w:sz w:val="22"/>
          <w:szCs w:val="22"/>
        </w:rPr>
        <w:t>Vendor</w:t>
      </w:r>
      <w:r w:rsidRPr="00050892">
        <w:rPr>
          <w:rFonts w:ascii="Arial" w:hAnsi="Arial" w:cs="Arial"/>
          <w:sz w:val="22"/>
          <w:szCs w:val="22"/>
        </w:rPr>
        <w:t xml:space="preserve"> </w:t>
      </w:r>
      <w:r>
        <w:rPr>
          <w:rFonts w:ascii="Arial" w:hAnsi="Arial" w:cs="Arial"/>
          <w:sz w:val="22"/>
          <w:szCs w:val="22"/>
        </w:rPr>
        <w:t>(e.g.,</w:t>
      </w:r>
      <w:r w:rsidRPr="00050892">
        <w:rPr>
          <w:rFonts w:ascii="Arial" w:hAnsi="Arial" w:cs="Arial"/>
          <w:sz w:val="22"/>
          <w:szCs w:val="22"/>
        </w:rPr>
        <w:t xml:space="preserve"> virus checking</w:t>
      </w:r>
      <w:r>
        <w:rPr>
          <w:rFonts w:ascii="Arial" w:hAnsi="Arial" w:cs="Arial"/>
          <w:sz w:val="22"/>
          <w:szCs w:val="22"/>
        </w:rPr>
        <w:t>,</w:t>
      </w:r>
      <w:r w:rsidRPr="00050892">
        <w:rPr>
          <w:rFonts w:ascii="Arial" w:hAnsi="Arial" w:cs="Arial"/>
          <w:sz w:val="22"/>
          <w:szCs w:val="22"/>
        </w:rPr>
        <w:t xml:space="preserve"> port sniffing</w:t>
      </w:r>
      <w:r>
        <w:rPr>
          <w:rFonts w:ascii="Arial" w:hAnsi="Arial" w:cs="Arial"/>
          <w:sz w:val="22"/>
          <w:szCs w:val="22"/>
        </w:rPr>
        <w:t>). T</w:t>
      </w:r>
      <w:r w:rsidRPr="00050892">
        <w:rPr>
          <w:rFonts w:ascii="Arial" w:hAnsi="Arial" w:cs="Arial"/>
          <w:sz w:val="22"/>
          <w:szCs w:val="22"/>
        </w:rPr>
        <w:t xml:space="preserve">he State of Mississippi and the </w:t>
      </w:r>
      <w:r>
        <w:rPr>
          <w:rFonts w:ascii="Arial" w:hAnsi="Arial" w:cs="Arial"/>
          <w:sz w:val="22"/>
          <w:szCs w:val="22"/>
        </w:rPr>
        <w:t>Vendor</w:t>
      </w:r>
      <w:r w:rsidRPr="00050892">
        <w:rPr>
          <w:rFonts w:ascii="Arial" w:hAnsi="Arial" w:cs="Arial"/>
          <w:sz w:val="22"/>
          <w:szCs w:val="22"/>
        </w:rPr>
        <w:t xml:space="preserve"> must understand each other’s roles and responsibilities.</w:t>
      </w:r>
    </w:p>
    <w:p w14:paraId="7A5983C0" w14:textId="77777777" w:rsidR="007A3D73" w:rsidRPr="00050892" w:rsidRDefault="007A3D73" w:rsidP="007A3D73">
      <w:pPr>
        <w:pStyle w:val="Level3"/>
        <w:ind w:left="2880" w:hanging="1080"/>
        <w:jc w:val="both"/>
        <w:rPr>
          <w:rFonts w:ascii="Arial" w:hAnsi="Arial" w:cs="Arial"/>
          <w:sz w:val="22"/>
          <w:szCs w:val="22"/>
        </w:rPr>
      </w:pPr>
      <w:r>
        <w:rPr>
          <w:rFonts w:ascii="Arial" w:hAnsi="Arial" w:cs="Arial"/>
          <w:sz w:val="22"/>
          <w:szCs w:val="22"/>
        </w:rPr>
        <w:t>The Vendor</w:t>
      </w:r>
      <w:r w:rsidRPr="00050892">
        <w:rPr>
          <w:rFonts w:ascii="Arial" w:hAnsi="Arial" w:cs="Arial"/>
          <w:sz w:val="22"/>
          <w:szCs w:val="22"/>
        </w:rPr>
        <w:t xml:space="preserve"> will cover the costs of response and recovery from a data breach. </w:t>
      </w:r>
      <w:r>
        <w:rPr>
          <w:rFonts w:ascii="Arial" w:hAnsi="Arial" w:cs="Arial"/>
          <w:sz w:val="22"/>
          <w:szCs w:val="22"/>
        </w:rPr>
        <w:t>The State</w:t>
      </w:r>
      <w:r w:rsidRPr="00050892">
        <w:rPr>
          <w:rFonts w:ascii="Arial" w:hAnsi="Arial" w:cs="Arial"/>
          <w:sz w:val="22"/>
          <w:szCs w:val="22"/>
        </w:rPr>
        <w:t xml:space="preserve"> will expect to recover all breach costs from the </w:t>
      </w:r>
      <w:r>
        <w:rPr>
          <w:rFonts w:ascii="Arial" w:hAnsi="Arial" w:cs="Arial"/>
          <w:sz w:val="22"/>
          <w:szCs w:val="22"/>
        </w:rPr>
        <w:t>Vendor</w:t>
      </w:r>
      <w:r w:rsidRPr="00050892">
        <w:rPr>
          <w:rFonts w:ascii="Arial" w:hAnsi="Arial" w:cs="Arial"/>
          <w:sz w:val="22"/>
          <w:szCs w:val="22"/>
        </w:rPr>
        <w:t>.</w:t>
      </w:r>
    </w:p>
    <w:p w14:paraId="57205A67" w14:textId="77777777" w:rsidR="007A3D73" w:rsidRPr="00050892" w:rsidRDefault="007A3D73" w:rsidP="007A3D73">
      <w:pPr>
        <w:pStyle w:val="Level3"/>
        <w:ind w:left="2880" w:hanging="1080"/>
        <w:jc w:val="both"/>
        <w:rPr>
          <w:rFonts w:ascii="Arial" w:hAnsi="Arial" w:cs="Arial"/>
          <w:sz w:val="22"/>
          <w:szCs w:val="22"/>
        </w:rPr>
      </w:pPr>
      <w:r>
        <w:rPr>
          <w:rFonts w:ascii="Arial" w:hAnsi="Arial" w:cs="Arial"/>
          <w:sz w:val="22"/>
          <w:szCs w:val="22"/>
        </w:rPr>
        <w:t>The Vendor</w:t>
      </w:r>
      <w:r w:rsidRPr="00050892">
        <w:rPr>
          <w:rFonts w:ascii="Arial" w:hAnsi="Arial" w:cs="Arial"/>
          <w:sz w:val="22"/>
          <w:szCs w:val="22"/>
        </w:rPr>
        <w:t xml:space="preserve"> must encrypt all State of Mississippi data while at rest.</w:t>
      </w:r>
    </w:p>
    <w:p w14:paraId="0F3912CA" w14:textId="77777777" w:rsidR="007A3D73" w:rsidRPr="00050892" w:rsidRDefault="007A3D73" w:rsidP="007A3D73">
      <w:pPr>
        <w:pStyle w:val="Level4"/>
        <w:jc w:val="both"/>
        <w:rPr>
          <w:rFonts w:ascii="Arial" w:hAnsi="Arial" w:cs="Arial"/>
          <w:sz w:val="22"/>
          <w:szCs w:val="22"/>
        </w:rPr>
      </w:pPr>
      <w:r w:rsidRPr="00050892">
        <w:rPr>
          <w:rFonts w:ascii="Arial" w:hAnsi="Arial" w:cs="Arial"/>
          <w:sz w:val="22"/>
          <w:szCs w:val="22"/>
        </w:rPr>
        <w:t>The Vendor must explain the method of encryption for data-at-rest</w:t>
      </w:r>
      <w:r>
        <w:rPr>
          <w:rFonts w:ascii="Arial" w:hAnsi="Arial" w:cs="Arial"/>
          <w:sz w:val="22"/>
          <w:szCs w:val="22"/>
        </w:rPr>
        <w:t xml:space="preserve">. </w:t>
      </w:r>
      <w:r w:rsidRPr="00050892">
        <w:rPr>
          <w:rFonts w:ascii="Arial" w:hAnsi="Arial" w:cs="Arial"/>
          <w:sz w:val="22"/>
          <w:szCs w:val="22"/>
        </w:rPr>
        <w:t xml:space="preserve"> Where are the encryption keys held? Who has access to the encryption keys?</w:t>
      </w:r>
    </w:p>
    <w:p w14:paraId="1B927C0B" w14:textId="77777777" w:rsidR="007A3D73" w:rsidRPr="00050892" w:rsidRDefault="007A3D73" w:rsidP="007A3D73">
      <w:pPr>
        <w:pStyle w:val="Level4"/>
        <w:jc w:val="both"/>
        <w:rPr>
          <w:rFonts w:ascii="Arial" w:hAnsi="Arial" w:cs="Arial"/>
          <w:sz w:val="22"/>
          <w:szCs w:val="22"/>
        </w:rPr>
      </w:pPr>
      <w:r w:rsidRPr="00050892">
        <w:rPr>
          <w:rFonts w:ascii="Arial" w:hAnsi="Arial" w:cs="Arial"/>
          <w:sz w:val="22"/>
          <w:szCs w:val="22"/>
        </w:rPr>
        <w:t>The Vendor must explain the technical method of segregation used to separate State of MS data from other customer data</w:t>
      </w:r>
      <w:r>
        <w:rPr>
          <w:rFonts w:ascii="Arial" w:hAnsi="Arial" w:cs="Arial"/>
          <w:sz w:val="22"/>
          <w:szCs w:val="22"/>
        </w:rPr>
        <w:t>.</w:t>
      </w:r>
      <w:r w:rsidRPr="00050892">
        <w:rPr>
          <w:rFonts w:ascii="Arial" w:hAnsi="Arial" w:cs="Arial"/>
          <w:sz w:val="22"/>
          <w:szCs w:val="22"/>
        </w:rPr>
        <w:t xml:space="preserve"> What are the policies and procedures in place to ensure State of MS data is not co-mingled with other customer’s data?</w:t>
      </w:r>
    </w:p>
    <w:p w14:paraId="5DAD6F5C" w14:textId="77777777" w:rsidR="007A3D73" w:rsidRPr="00050892" w:rsidRDefault="007A3D73" w:rsidP="007A3D73">
      <w:pPr>
        <w:pStyle w:val="Level3"/>
        <w:ind w:left="2880" w:hanging="1080"/>
        <w:jc w:val="both"/>
        <w:rPr>
          <w:rFonts w:ascii="Arial" w:hAnsi="Arial" w:cs="Arial"/>
          <w:sz w:val="22"/>
          <w:szCs w:val="22"/>
        </w:rPr>
      </w:pPr>
      <w:r>
        <w:rPr>
          <w:rFonts w:ascii="Arial" w:hAnsi="Arial" w:cs="Arial"/>
          <w:sz w:val="22"/>
          <w:szCs w:val="22"/>
        </w:rPr>
        <w:t>The Vendor must</w:t>
      </w:r>
      <w:r w:rsidRPr="00050892">
        <w:rPr>
          <w:rFonts w:ascii="Arial" w:hAnsi="Arial" w:cs="Arial"/>
          <w:sz w:val="22"/>
          <w:szCs w:val="22"/>
        </w:rPr>
        <w:t xml:space="preserve"> have robust compartmentalization of job duties, perform background checks, require/enforce non-disclosure agreements, and limit staff knowledge of State of Mississippi data to that which is absolutely needed to perform job duties.</w:t>
      </w:r>
    </w:p>
    <w:p w14:paraId="6196138E" w14:textId="77777777" w:rsidR="007A3D73" w:rsidRPr="00CA30C4" w:rsidRDefault="007A3D73" w:rsidP="007A3D73">
      <w:pPr>
        <w:pStyle w:val="Level3"/>
        <w:ind w:left="2880" w:hanging="1080"/>
        <w:jc w:val="both"/>
      </w:pPr>
      <w:r w:rsidRPr="00CA30C4">
        <w:rPr>
          <w:rFonts w:ascii="Arial" w:hAnsi="Arial" w:cs="Arial"/>
          <w:sz w:val="22"/>
          <w:szCs w:val="22"/>
        </w:rPr>
        <w:t>The Vendor must provide documentation of internal and external security controls, and their compliance level to industry standards.</w:t>
      </w:r>
    </w:p>
    <w:p w14:paraId="55792772" w14:textId="77777777" w:rsidR="007A3D73" w:rsidRPr="00883216" w:rsidRDefault="007A3D73" w:rsidP="00EE78DC">
      <w:pPr>
        <w:pStyle w:val="Level3"/>
        <w:ind w:left="2880" w:hanging="1080"/>
        <w:jc w:val="both"/>
      </w:pPr>
      <w:r w:rsidRPr="00CA30C4">
        <w:rPr>
          <w:rFonts w:ascii="Arial" w:hAnsi="Arial" w:cs="Arial"/>
          <w:sz w:val="22"/>
          <w:szCs w:val="22"/>
        </w:rPr>
        <w:t>The Vendor must ensure that State of Mississippi backed-up data is not commingled with other cloud service customer data.</w:t>
      </w:r>
    </w:p>
    <w:p w14:paraId="23EB19BB" w14:textId="77777777" w:rsidR="00D90D4F" w:rsidRDefault="00D90D4F" w:rsidP="00D90D4F">
      <w:pPr>
        <w:pStyle w:val="Level1"/>
        <w:jc w:val="both"/>
        <w:rPr>
          <w:rFonts w:ascii="Arial" w:hAnsi="Arial" w:cs="Arial"/>
          <w:b/>
          <w:bCs/>
          <w:sz w:val="22"/>
          <w:szCs w:val="22"/>
        </w:rPr>
      </w:pPr>
      <w:r>
        <w:rPr>
          <w:rFonts w:ascii="Arial" w:hAnsi="Arial" w:cs="Arial"/>
          <w:b/>
          <w:bCs/>
          <w:sz w:val="22"/>
          <w:szCs w:val="22"/>
        </w:rPr>
        <w:t>Data Conversion</w:t>
      </w:r>
    </w:p>
    <w:p w14:paraId="0D46E232" w14:textId="77777777" w:rsidR="00D90D4F" w:rsidRDefault="00D90D4F" w:rsidP="00D90D4F">
      <w:pPr>
        <w:pStyle w:val="Level2"/>
      </w:pPr>
      <w:r w:rsidRPr="002A014E">
        <w:t>The Vendor must develop</w:t>
      </w:r>
      <w:r>
        <w:t>,</w:t>
      </w:r>
      <w:r w:rsidRPr="002A014E">
        <w:t xml:space="preserve"> in conjunction with </w:t>
      </w:r>
      <w:r>
        <w:t>MDWFP</w:t>
      </w:r>
      <w:r w:rsidRPr="002A014E">
        <w:t xml:space="preserve"> staff</w:t>
      </w:r>
      <w:r>
        <w:t>,</w:t>
      </w:r>
      <w:r w:rsidRPr="002A014E">
        <w:t xml:space="preserve"> a written Conversion Plan to transfer existing data to the new system. This plan must clearly identify</w:t>
      </w:r>
      <w:r>
        <w:t>,</w:t>
      </w:r>
      <w:r w:rsidRPr="002A014E">
        <w:t xml:space="preserve"> in detail</w:t>
      </w:r>
      <w:r>
        <w:t>,</w:t>
      </w:r>
      <w:r w:rsidRPr="002A014E">
        <w:t xml:space="preserve"> the responsibility of the Vendor and the State in </w:t>
      </w:r>
      <w:r w:rsidRPr="002A014E">
        <w:lastRenderedPageBreak/>
        <w:t>regards to all steps, tasks, activities, events, milestones</w:t>
      </w:r>
      <w:r>
        <w:t>,</w:t>
      </w:r>
      <w:r w:rsidRPr="002A014E">
        <w:t xml:space="preserve"> and resources necessary for the conversion process</w:t>
      </w:r>
      <w:r>
        <w:t xml:space="preserve">.  Any costs associated with conversion of existing data must be included in </w:t>
      </w:r>
      <w:r w:rsidRPr="002013E9">
        <w:rPr>
          <w:i/>
        </w:rPr>
        <w:t>Section VI</w:t>
      </w:r>
      <w:r w:rsidR="009605B9">
        <w:rPr>
          <w:i/>
        </w:rPr>
        <w:t>I</w:t>
      </w:r>
      <w:r w:rsidRPr="002013E9">
        <w:rPr>
          <w:i/>
        </w:rPr>
        <w:t xml:space="preserve">I:  Cost </w:t>
      </w:r>
      <w:r>
        <w:rPr>
          <w:i/>
        </w:rPr>
        <w:t xml:space="preserve">Information </w:t>
      </w:r>
      <w:r w:rsidRPr="002013E9">
        <w:rPr>
          <w:i/>
        </w:rPr>
        <w:t>Submission</w:t>
      </w:r>
      <w:r>
        <w:rPr>
          <w:i/>
        </w:rPr>
        <w:t>.</w:t>
      </w:r>
    </w:p>
    <w:p w14:paraId="736041AC" w14:textId="77777777" w:rsidR="00D90D4F" w:rsidRPr="002A014E" w:rsidRDefault="00D90D4F" w:rsidP="00D90D4F">
      <w:pPr>
        <w:pStyle w:val="Level2"/>
      </w:pPr>
      <w:r w:rsidRPr="002A014E">
        <w:t>The Vendor must design, develop and implement any automation to be used in conversion.  The Conversion Plan must detail the design, development</w:t>
      </w:r>
      <w:r>
        <w:t>,</w:t>
      </w:r>
      <w:r w:rsidRPr="002A014E">
        <w:t xml:space="preserve"> and test procedures for all electronic conversion programs and scripts required to transfer data from the current systems to the new system.</w:t>
      </w:r>
      <w:r>
        <w:t xml:space="preserve"> </w:t>
      </w:r>
      <w:r w:rsidRPr="002A014E">
        <w:t>The plan must include tasks to convert all electronic and manual data.</w:t>
      </w:r>
      <w:r>
        <w:t xml:space="preserve"> </w:t>
      </w:r>
      <w:r w:rsidRPr="002A014E">
        <w:t>It must address methodology, timing</w:t>
      </w:r>
      <w:r>
        <w:t>,</w:t>
      </w:r>
      <w:r w:rsidRPr="002A014E">
        <w:t xml:space="preserve"> and handling of exception conditions and validation techniques and be approved by </w:t>
      </w:r>
      <w:r>
        <w:t>MDWFP</w:t>
      </w:r>
      <w:r w:rsidRPr="002A014E">
        <w:t>.</w:t>
      </w:r>
      <w:r w:rsidRPr="002A014E">
        <w:tab/>
      </w:r>
    </w:p>
    <w:p w14:paraId="4EC45573" w14:textId="77777777" w:rsidR="00D90D4F" w:rsidRPr="002A014E" w:rsidRDefault="00D90D4F" w:rsidP="00D90D4F">
      <w:pPr>
        <w:pStyle w:val="Level2"/>
      </w:pPr>
      <w:r w:rsidRPr="002A014E">
        <w:t xml:space="preserve">It will be the Vendor’s responsibility to complete the successful conversion of the existing data prior to QA/Acceptance testing.  </w:t>
      </w:r>
    </w:p>
    <w:p w14:paraId="5D0F0141" w14:textId="77777777" w:rsidR="00D90D4F" w:rsidRPr="002A014E" w:rsidRDefault="00D90D4F" w:rsidP="00D90D4F">
      <w:pPr>
        <w:pStyle w:val="Level2"/>
      </w:pPr>
      <w:r w:rsidRPr="002A014E">
        <w:t>Vendor should propose a not-to-exceed price for the conversion effort.</w:t>
      </w:r>
      <w:r>
        <w:t xml:space="preserve"> </w:t>
      </w:r>
      <w:r w:rsidRPr="002A014E">
        <w:t xml:space="preserve">Cost should be included in </w:t>
      </w:r>
      <w:r w:rsidRPr="00883216">
        <w:rPr>
          <w:i/>
        </w:rPr>
        <w:t>Section VIII:</w:t>
      </w:r>
      <w:r w:rsidRPr="002A014E">
        <w:t xml:space="preserve"> </w:t>
      </w:r>
      <w:r w:rsidRPr="002A014E">
        <w:rPr>
          <w:i/>
        </w:rPr>
        <w:t>Cost Information Submission</w:t>
      </w:r>
      <w:r w:rsidRPr="002A014E">
        <w:t>.</w:t>
      </w:r>
    </w:p>
    <w:p w14:paraId="23B00AB5" w14:textId="77777777" w:rsidR="00D90D4F" w:rsidRPr="002A014E" w:rsidRDefault="00D90D4F" w:rsidP="00D90D4F">
      <w:pPr>
        <w:pStyle w:val="Level2"/>
      </w:pPr>
      <w:r>
        <w:t>MDWFP</w:t>
      </w:r>
      <w:r w:rsidRPr="002A014E">
        <w:t xml:space="preserve"> will be solely responsible for sanitizing the existing data. Additionally, </w:t>
      </w:r>
      <w:r>
        <w:t>MDWFP</w:t>
      </w:r>
      <w:r w:rsidRPr="002A014E">
        <w:t xml:space="preserve"> will bear sole responsibility for providing all manual data entry required to provide a fully functioning system.</w:t>
      </w:r>
    </w:p>
    <w:p w14:paraId="33979167" w14:textId="77777777" w:rsidR="00D90D4F" w:rsidRPr="002A014E" w:rsidRDefault="00D90D4F" w:rsidP="00D90D4F">
      <w:pPr>
        <w:pStyle w:val="Level2"/>
      </w:pPr>
      <w:r w:rsidRPr="002A014E">
        <w:t xml:space="preserve">The Vendor must provide a means to populate any new data elements into the new system in as automated a fashion as possible. </w:t>
      </w:r>
      <w:r>
        <w:t>MDWFP</w:t>
      </w:r>
      <w:r w:rsidRPr="002A014E">
        <w:t xml:space="preserve"> will be responsible for populating any new required system data elements that do not exist in the current </w:t>
      </w:r>
      <w:r>
        <w:t>MDWFP</w:t>
      </w:r>
      <w:r w:rsidRPr="002A014E">
        <w:t xml:space="preserve"> system.</w:t>
      </w:r>
    </w:p>
    <w:p w14:paraId="58B1F97A" w14:textId="77777777" w:rsidR="00D90D4F" w:rsidRPr="002A014E" w:rsidRDefault="00D90D4F" w:rsidP="00D90D4F">
      <w:pPr>
        <w:pStyle w:val="Level2"/>
      </w:pPr>
      <w:r w:rsidRPr="002A014E">
        <w:t xml:space="preserve">The Vendor must provide statistical reports with record counts to show where data </w:t>
      </w:r>
      <w:r>
        <w:t>is</w:t>
      </w:r>
      <w:r w:rsidRPr="002A014E">
        <w:t xml:space="preserve"> imported from and where it now resides to enable </w:t>
      </w:r>
      <w:r>
        <w:t>MDWFP</w:t>
      </w:r>
      <w:r w:rsidRPr="002A014E">
        <w:t xml:space="preserve"> to verify that the desired results have been achieved.</w:t>
      </w:r>
      <w:r>
        <w:t xml:space="preserve"> MDWFP</w:t>
      </w:r>
      <w:r w:rsidRPr="002A014E">
        <w:t xml:space="preserve"> will be responsible for the quality and integrity of the existing system data to be used in the conversion process.</w:t>
      </w:r>
    </w:p>
    <w:p w14:paraId="3EBCAE16" w14:textId="77777777" w:rsidR="00D90D4F" w:rsidRPr="002A014E" w:rsidRDefault="00D90D4F" w:rsidP="00D90D4F">
      <w:pPr>
        <w:pStyle w:val="Level2"/>
      </w:pPr>
      <w:r w:rsidRPr="002A014E">
        <w:t xml:space="preserve">The Vendor must provide all programs required to interrogate existing </w:t>
      </w:r>
      <w:r>
        <w:t>MDWFP</w:t>
      </w:r>
      <w:r w:rsidRPr="002A014E">
        <w:t xml:space="preserve"> data files and to identify conversion issues and missing data elements required for the new system.</w:t>
      </w:r>
    </w:p>
    <w:p w14:paraId="676F69FE" w14:textId="77777777" w:rsidR="00D90D4F" w:rsidRPr="002A014E" w:rsidRDefault="00D90D4F" w:rsidP="00D90D4F">
      <w:pPr>
        <w:pStyle w:val="Level2"/>
      </w:pPr>
      <w:r w:rsidRPr="002A014E">
        <w:t xml:space="preserve">The Vendor must submit formal Conversion Test Results for </w:t>
      </w:r>
      <w:r>
        <w:t>MDWFP</w:t>
      </w:r>
      <w:r w:rsidRPr="002A014E">
        <w:t xml:space="preserve"> to view and approve prior to the final file conversion. </w:t>
      </w:r>
      <w:r>
        <w:t>MDWFP</w:t>
      </w:r>
      <w:r w:rsidRPr="002A014E">
        <w:t xml:space="preserve"> will be responsible for the manual analysis of data from the existing system prior to using that data for the new system.</w:t>
      </w:r>
    </w:p>
    <w:p w14:paraId="3842139C" w14:textId="77777777" w:rsidR="006A499B" w:rsidRPr="00DA0BE0" w:rsidRDefault="00D90D4F" w:rsidP="00883216">
      <w:pPr>
        <w:pStyle w:val="Level2"/>
      </w:pPr>
      <w:r w:rsidRPr="002A014E">
        <w:t>The Vendor must provide a means of identifying records that are converted from current legacy systems and imported into the new system.</w:t>
      </w:r>
    </w:p>
    <w:p w14:paraId="59F71572" w14:textId="77777777" w:rsidR="00904FFB" w:rsidRPr="000825FA" w:rsidRDefault="00904FFB" w:rsidP="000825FA">
      <w:pPr>
        <w:pStyle w:val="Level1"/>
        <w:spacing w:after="240"/>
        <w:jc w:val="both"/>
        <w:rPr>
          <w:rFonts w:ascii="Arial" w:hAnsi="Arial" w:cs="Arial"/>
        </w:rPr>
      </w:pPr>
      <w:r w:rsidRPr="000825FA">
        <w:rPr>
          <w:rFonts w:ascii="Arial" w:hAnsi="Arial" w:cs="Arial"/>
          <w:b/>
          <w:bCs/>
          <w:sz w:val="22"/>
          <w:szCs w:val="22"/>
        </w:rPr>
        <w:t>Installation and Testing Requirements</w:t>
      </w:r>
    </w:p>
    <w:p w14:paraId="76FEA515" w14:textId="77777777" w:rsidR="00904FFB" w:rsidRPr="00883216" w:rsidRDefault="00904FFB" w:rsidP="00904FFB">
      <w:pPr>
        <w:pStyle w:val="NoSpacing"/>
        <w:spacing w:after="120"/>
        <w:ind w:left="720"/>
        <w:jc w:val="both"/>
        <w:rPr>
          <w:rFonts w:ascii="Arial" w:hAnsi="Arial" w:cs="Arial"/>
          <w:sz w:val="22"/>
        </w:rPr>
      </w:pPr>
      <w:r w:rsidRPr="00883216">
        <w:rPr>
          <w:rFonts w:ascii="Arial" w:hAnsi="Arial" w:cs="Arial"/>
          <w:sz w:val="22"/>
        </w:rPr>
        <w:t>Vendor must furnish details about the proposed approach to satisfy each of the following implementation requirements.</w:t>
      </w:r>
    </w:p>
    <w:p w14:paraId="220FFB56" w14:textId="77777777" w:rsidR="00904FFB" w:rsidRPr="005648BC" w:rsidRDefault="00904FFB" w:rsidP="00904FFB">
      <w:pPr>
        <w:pStyle w:val="Level2"/>
      </w:pPr>
      <w:r w:rsidRPr="005648BC">
        <w:lastRenderedPageBreak/>
        <w:t>The Vendor must specify the minimum and recommended PC workstation and browser specifications necessary for the Agency and public end-users to access the System as proposed. Neither Agency nor public user workstations should require special client software.</w:t>
      </w:r>
    </w:p>
    <w:p w14:paraId="5A29CA83" w14:textId="77777777" w:rsidR="00904FFB" w:rsidRPr="005648BC" w:rsidRDefault="00904FFB" w:rsidP="00904FFB">
      <w:pPr>
        <w:pStyle w:val="Level2"/>
      </w:pPr>
      <w:r w:rsidRPr="005648BC">
        <w:t>Vendor must identify the maximum number of concurrent users and describe the maximum system load that the system will support.</w:t>
      </w:r>
    </w:p>
    <w:p w14:paraId="104AED3E" w14:textId="77777777" w:rsidR="00904FFB" w:rsidRPr="005648BC" w:rsidRDefault="00904FFB" w:rsidP="00904FFB">
      <w:pPr>
        <w:pStyle w:val="Level2"/>
      </w:pPr>
      <w:r w:rsidRPr="005648BC">
        <w:t>Vendor must perform sufficient analysis of the Agency’s operations to ensure that all necessary business rules, data edits, tables, forms, screens, web pages, documents and reports are designed and incorporated into the System.</w:t>
      </w:r>
    </w:p>
    <w:p w14:paraId="257C1B59" w14:textId="77777777" w:rsidR="00904FFB" w:rsidRPr="005648BC" w:rsidRDefault="00904FFB" w:rsidP="00904FFB">
      <w:pPr>
        <w:pStyle w:val="Level2"/>
      </w:pPr>
      <w:r w:rsidRPr="005648BC">
        <w:t xml:space="preserve">Vendor must </w:t>
      </w:r>
      <w:r w:rsidR="00797894">
        <w:t>provide a plan to migrate</w:t>
      </w:r>
      <w:r w:rsidRPr="005648BC">
        <w:t xml:space="preserve"> all existing </w:t>
      </w:r>
      <w:r w:rsidR="0014693D">
        <w:t xml:space="preserve">customer profile </w:t>
      </w:r>
      <w:r w:rsidRPr="005648BC">
        <w:t>r</w:t>
      </w:r>
      <w:r w:rsidR="00797894">
        <w:t xml:space="preserve">ecords to the proposed System. </w:t>
      </w:r>
    </w:p>
    <w:p w14:paraId="2531E52C" w14:textId="77777777" w:rsidR="00904FFB" w:rsidRPr="005648BC" w:rsidRDefault="00904FFB" w:rsidP="00904FFB">
      <w:pPr>
        <w:pStyle w:val="Level2"/>
      </w:pPr>
      <w:r w:rsidRPr="005648BC">
        <w:t>Vendor must propose the manner in which cutover will be handled for the proposed System. Cutover should be devised in such a way as to minimize the impact on the Agency’s daily operations.</w:t>
      </w:r>
    </w:p>
    <w:p w14:paraId="06319989" w14:textId="77777777" w:rsidR="00904FFB" w:rsidRPr="00A81070" w:rsidRDefault="00904FFB" w:rsidP="00904FFB">
      <w:pPr>
        <w:pStyle w:val="Level2"/>
      </w:pPr>
      <w:r w:rsidRPr="00A81070">
        <w:t xml:space="preserve">The Vendor must provide as a deliverable an “Acceptance Test Plan” (ATP).  The ATP must be developed in conjunction with </w:t>
      </w:r>
      <w:r>
        <w:t>MDWFP</w:t>
      </w:r>
      <w:r w:rsidRPr="00A81070">
        <w:t xml:space="preserve"> staff and must show events, sequences and schedules required for testing and acceptance of the system. The Customer must provide written approval that the proposed ATP is complete and acceptable.</w:t>
      </w:r>
    </w:p>
    <w:p w14:paraId="37DBDA5D" w14:textId="77777777" w:rsidR="00904FFB" w:rsidRPr="00A81070" w:rsidRDefault="00904FFB" w:rsidP="00904FFB">
      <w:pPr>
        <w:pStyle w:val="Level2"/>
      </w:pPr>
      <w:r w:rsidRPr="00A81070">
        <w:t xml:space="preserve">The Vendor must provide technical staff onsite to participate in the Acceptance test as requested by </w:t>
      </w:r>
      <w:r>
        <w:t>MDWFP</w:t>
      </w:r>
      <w:r w:rsidRPr="00A81070">
        <w:t xml:space="preserve">.  </w:t>
      </w:r>
    </w:p>
    <w:p w14:paraId="0854E11A" w14:textId="77777777" w:rsidR="00904FFB" w:rsidRPr="00A81070" w:rsidRDefault="00904FFB" w:rsidP="00904FFB">
      <w:pPr>
        <w:pStyle w:val="Level2"/>
      </w:pPr>
      <w:r w:rsidRPr="00A81070">
        <w:t xml:space="preserve">The Vendor must complete the required System Administrator and Security Administrator training for </w:t>
      </w:r>
      <w:r>
        <w:t>MDWFP</w:t>
      </w:r>
      <w:r w:rsidRPr="00A81070">
        <w:t xml:space="preserve"> staff prior to the start of QA/Acceptance testing.</w:t>
      </w:r>
    </w:p>
    <w:p w14:paraId="3B4C6894" w14:textId="77777777" w:rsidR="00904FFB" w:rsidRPr="00A81070" w:rsidRDefault="00904FFB" w:rsidP="00904FFB">
      <w:pPr>
        <w:pStyle w:val="Level2"/>
      </w:pPr>
      <w:r w:rsidRPr="00A81070">
        <w:t xml:space="preserve">The Vendor will be responsible for providing, in conjunction with </w:t>
      </w:r>
      <w:r>
        <w:t>MDWFP</w:t>
      </w:r>
      <w:r w:rsidRPr="00A81070">
        <w:t xml:space="preserve"> staff, a help desk for users until Final Acceptance of the system is completed.</w:t>
      </w:r>
    </w:p>
    <w:p w14:paraId="7D54D033" w14:textId="77777777" w:rsidR="00904FFB" w:rsidRPr="00A81070" w:rsidRDefault="00904FFB" w:rsidP="00904FFB">
      <w:pPr>
        <w:pStyle w:val="Level2"/>
      </w:pPr>
      <w:r>
        <w:t>MDWFP</w:t>
      </w:r>
      <w:r w:rsidRPr="00FC53DE">
        <w:t xml:space="preserve"> staff will </w:t>
      </w:r>
      <w:r w:rsidR="003B7D86">
        <w:t>work with awarded Vendor to migrate</w:t>
      </w:r>
      <w:r w:rsidRPr="00FC53DE">
        <w:t xml:space="preserve"> the software from the development environment into the test environment</w:t>
      </w:r>
      <w:r w:rsidR="009605B9">
        <w:t>.</w:t>
      </w:r>
      <w:r w:rsidR="001967BC">
        <w:t xml:space="preserve"> </w:t>
      </w:r>
      <w:r w:rsidRPr="00FC53DE">
        <w:t xml:space="preserve">The Vendor will be responsible for conducting an operational test of the system in conjunction with </w:t>
      </w:r>
      <w:r>
        <w:t>MDWFP</w:t>
      </w:r>
      <w:r w:rsidRPr="00FC53DE">
        <w:t xml:space="preserve"> staff.</w:t>
      </w:r>
      <w:r w:rsidR="001967BC">
        <w:t xml:space="preserve"> </w:t>
      </w:r>
      <w:r w:rsidRPr="00FC53DE">
        <w:t>All functions of the system must be demonstrated to be operational. Following successful System Test</w:t>
      </w:r>
      <w:r>
        <w:t>ing</w:t>
      </w:r>
      <w:r w:rsidRPr="00FC53DE">
        <w:t>, Vendor must certify in writing that the system is ready for Quality Assurance (QA)/Acceptance Testing and will perform in accordance with the functional and performance requirements stated in this document. The Vendor must ensure that the system in general</w:t>
      </w:r>
      <w:r>
        <w:t>,</w:t>
      </w:r>
      <w:r w:rsidRPr="00FC53DE">
        <w:t xml:space="preserve"> and each module of the system in particular</w:t>
      </w:r>
      <w:r>
        <w:t>,</w:t>
      </w:r>
      <w:r w:rsidRPr="00FC53DE">
        <w:t xml:space="preserve"> operate</w:t>
      </w:r>
      <w:r>
        <w:t>s</w:t>
      </w:r>
      <w:r w:rsidRPr="00FC53DE">
        <w:t xml:space="preserve"> according to specifications before turning the system over to the Customer for QA/Acceptance testing.</w:t>
      </w:r>
      <w:r w:rsidRPr="00A81070">
        <w:t xml:space="preserve">  </w:t>
      </w:r>
    </w:p>
    <w:p w14:paraId="39C43DF2" w14:textId="77777777" w:rsidR="00904FFB" w:rsidRPr="00A81070" w:rsidRDefault="00904FFB" w:rsidP="00904FFB">
      <w:pPr>
        <w:pStyle w:val="Level2"/>
        <w:rPr>
          <w:szCs w:val="24"/>
        </w:rPr>
      </w:pPr>
      <w:r>
        <w:t>MDWFP</w:t>
      </w:r>
      <w:r w:rsidRPr="00A81070">
        <w:t xml:space="preserve"> staff will be responsible for conducting QA/Acceptance testing. The Vendor must provide technical staff onsite to participate in the QA/Acceptance test as requested by </w:t>
      </w:r>
      <w:r>
        <w:t>MDWFP</w:t>
      </w:r>
      <w:r w:rsidRPr="00A81070">
        <w:t>.</w:t>
      </w:r>
      <w:r w:rsidR="001967BC">
        <w:t xml:space="preserve"> </w:t>
      </w:r>
      <w:r w:rsidRPr="00A81070">
        <w:t xml:space="preserve">All functions of the system must be </w:t>
      </w:r>
      <w:r w:rsidRPr="00A81070">
        <w:lastRenderedPageBreak/>
        <w:t xml:space="preserve">demonstrated to be operational by </w:t>
      </w:r>
      <w:r>
        <w:t>MDWFP</w:t>
      </w:r>
      <w:r w:rsidRPr="00A81070">
        <w:t xml:space="preserve"> staff to ensure that proper training and knowledge transfer have been received.</w:t>
      </w:r>
    </w:p>
    <w:p w14:paraId="38894BD9" w14:textId="77777777" w:rsidR="00904FFB" w:rsidRPr="00A81070" w:rsidRDefault="00904FFB" w:rsidP="00904FFB">
      <w:pPr>
        <w:pStyle w:val="Level2"/>
        <w:rPr>
          <w:szCs w:val="24"/>
        </w:rPr>
      </w:pPr>
      <w:r w:rsidRPr="00A81070">
        <w:t>The purpose and net result of the QA/Acceptance test is to determine that the installed system meets the technical and functional requirements outlined in these specifications. All defects will be documented and categorized by the State as described below.  Defects categorized as severity levels 1- 3 must be corrected prior to the start of Pilot testing. All corrections will be made in the development environment and migrated into the testing environment to be QA/Acceptance tested.</w:t>
      </w:r>
    </w:p>
    <w:p w14:paraId="062FA2FF"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 xml:space="preserve">Severity Level 1 shall be defined as urgent situations, when the production system is down and the State is unable to use the </w:t>
      </w:r>
      <w:r w:rsidR="0061377C">
        <w:rPr>
          <w:rFonts w:ascii="Arial" w:hAnsi="Arial" w:cs="Arial"/>
          <w:sz w:val="22"/>
          <w:szCs w:val="22"/>
        </w:rPr>
        <w:t>Golf</w:t>
      </w:r>
      <w:r>
        <w:rPr>
          <w:rFonts w:ascii="Arial" w:hAnsi="Arial" w:cs="Arial"/>
          <w:sz w:val="22"/>
          <w:szCs w:val="22"/>
        </w:rPr>
        <w:t xml:space="preserve"> Management </w:t>
      </w:r>
      <w:r w:rsidRPr="005E4460">
        <w:rPr>
          <w:rFonts w:ascii="Arial" w:hAnsi="Arial" w:cs="Arial"/>
          <w:sz w:val="22"/>
          <w:szCs w:val="22"/>
        </w:rPr>
        <w:t xml:space="preserve">System; the contractor’s technical support staff shall accept the State’s call for assistance at the time the State places the initial call; however, if such staff is not immediately available, the contractor shall return the State’s call within one (1) business hour. The contractor shall resolve Severity Level 1 problems as quickly as possible </w:t>
      </w:r>
      <w:r w:rsidR="001967BC">
        <w:rPr>
          <w:rFonts w:ascii="Arial" w:hAnsi="Arial" w:cs="Arial"/>
          <w:sz w:val="22"/>
          <w:szCs w:val="22"/>
        </w:rPr>
        <w:t>that</w:t>
      </w:r>
      <w:r w:rsidRPr="005E4460">
        <w:rPr>
          <w:rFonts w:ascii="Arial" w:hAnsi="Arial" w:cs="Arial"/>
          <w:sz w:val="22"/>
          <w:szCs w:val="22"/>
        </w:rPr>
        <w:t>, on average, shall not exceed two (2) business days, unless otherwise authorized in writing by the State.</w:t>
      </w:r>
    </w:p>
    <w:p w14:paraId="6C8CB7F9"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 xml:space="preserve">Severity Level 2 shall be defined as a critical software system component(s) that has significant outages and/or failure precluding its successful operation, and possibly endangering the State’s environment. The </w:t>
      </w:r>
      <w:r w:rsidR="0061377C">
        <w:rPr>
          <w:rFonts w:ascii="Arial" w:hAnsi="Arial" w:cs="Arial"/>
          <w:sz w:val="22"/>
          <w:szCs w:val="22"/>
        </w:rPr>
        <w:t>Golf</w:t>
      </w:r>
      <w:r>
        <w:rPr>
          <w:rFonts w:ascii="Arial" w:hAnsi="Arial" w:cs="Arial"/>
          <w:sz w:val="22"/>
          <w:szCs w:val="22"/>
        </w:rPr>
        <w:t xml:space="preserve"> Management </w:t>
      </w:r>
      <w:r w:rsidRPr="005E4460">
        <w:rPr>
          <w:rFonts w:ascii="Arial" w:hAnsi="Arial" w:cs="Arial"/>
          <w:sz w:val="22"/>
          <w:szCs w:val="22"/>
        </w:rPr>
        <w:t>System may operate but is severely restricted. The contractor’s technical support staff shall accept the State’s call for assistance at the time the State places the initial call; however, if such staff is not immediately available, the contractor shall return the State’s call within two (2) business hours. The contractor shall resolve Severity Level 2 problems as quickly as possible which, on average, shall not exceed three (3) business days, unless otherwise authorized in writing by the State.</w:t>
      </w:r>
    </w:p>
    <w:p w14:paraId="6D7AB328"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 xml:space="preserve">Severity Level 3 shall be defined as a minor problem that exists with the </w:t>
      </w:r>
      <w:r w:rsidR="0061377C">
        <w:rPr>
          <w:rFonts w:ascii="Arial" w:hAnsi="Arial" w:cs="Arial"/>
          <w:sz w:val="22"/>
          <w:szCs w:val="22"/>
        </w:rPr>
        <w:t>Golf</w:t>
      </w:r>
      <w:r>
        <w:rPr>
          <w:rFonts w:ascii="Arial" w:hAnsi="Arial" w:cs="Arial"/>
          <w:sz w:val="22"/>
          <w:szCs w:val="22"/>
        </w:rPr>
        <w:t xml:space="preserve"> Management </w:t>
      </w:r>
      <w:r w:rsidRPr="005E4460">
        <w:rPr>
          <w:rFonts w:ascii="Arial" w:hAnsi="Arial" w:cs="Arial"/>
          <w:sz w:val="22"/>
          <w:szCs w:val="22"/>
        </w:rPr>
        <w:t>System but the majority of the functions are still usable and some circumvention may be required to provide service. The contractor’s technical support staff shall accept the State’s call for assistance at the time the State places the initial call; however, if such staff is not immediately available, the contractor shall return the State’s call on average within three (3) business hours. The contractor shall resolve Severity Level 3 problems as quickly as possible which, on average, shall not exceed ten (10) business days, unless otherwise authorized in writing by the State.</w:t>
      </w:r>
    </w:p>
    <w:p w14:paraId="1737EE5C"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 xml:space="preserve">Severity Level 4 shall be defined as a very minor problem or question that does not affect the </w:t>
      </w:r>
      <w:r w:rsidR="0061377C">
        <w:rPr>
          <w:rFonts w:ascii="Arial" w:hAnsi="Arial" w:cs="Arial"/>
          <w:sz w:val="22"/>
          <w:szCs w:val="22"/>
        </w:rPr>
        <w:t>Golf</w:t>
      </w:r>
      <w:r>
        <w:rPr>
          <w:rFonts w:ascii="Arial" w:hAnsi="Arial" w:cs="Arial"/>
          <w:sz w:val="22"/>
          <w:szCs w:val="22"/>
        </w:rPr>
        <w:t xml:space="preserve"> Management </w:t>
      </w:r>
      <w:r w:rsidRPr="005E4460">
        <w:rPr>
          <w:rFonts w:ascii="Arial" w:hAnsi="Arial" w:cs="Arial"/>
          <w:sz w:val="22"/>
          <w:szCs w:val="22"/>
        </w:rPr>
        <w:t xml:space="preserve">System function (e.g., the text of a message is worded poorly or misspelled.) The contractor’s technical support staff shall accept the State’s call for assistance at the time the State places the initial call; however, if such staff is not immediately available, the contractor shall return </w:t>
      </w:r>
      <w:r w:rsidRPr="005E4460">
        <w:rPr>
          <w:rFonts w:ascii="Arial" w:hAnsi="Arial" w:cs="Arial"/>
          <w:sz w:val="22"/>
          <w:szCs w:val="22"/>
        </w:rPr>
        <w:lastRenderedPageBreak/>
        <w:t>the State’s call within four (4) business hours. The contractor shall resolve Severity Level 4 problems as quickly as possible which, on average, shall not exceed 15 business days, unless otherwise authorized in writing by the State.</w:t>
      </w:r>
    </w:p>
    <w:p w14:paraId="57BFF764"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General Assistance:  For general software support/help desk calls not covered by the above severity level descriptions, the contractor’s technical support staff shall accept the State’s call for assistance at the time the State places the initial call; however, if such staff is not immediately available, the contractor shall return the State’s call within five (5) business hours.</w:t>
      </w:r>
    </w:p>
    <w:p w14:paraId="7A82AB77" w14:textId="77777777" w:rsidR="00904FFB" w:rsidRPr="00A81070" w:rsidRDefault="00904FFB" w:rsidP="00904FFB">
      <w:pPr>
        <w:pStyle w:val="Level2"/>
        <w:rPr>
          <w:szCs w:val="24"/>
        </w:rPr>
      </w:pPr>
      <w:r w:rsidRPr="00A81070">
        <w:t>The State will certify in writing when the system has completed QA/Acceptance testing and is ready for Pilot testing.</w:t>
      </w:r>
    </w:p>
    <w:p w14:paraId="01F8E2E7" w14:textId="77777777" w:rsidR="00904FFB" w:rsidRPr="00A81070" w:rsidRDefault="00904FFB" w:rsidP="00904FFB">
      <w:pPr>
        <w:pStyle w:val="Level2"/>
        <w:rPr>
          <w:szCs w:val="24"/>
        </w:rPr>
      </w:pPr>
      <w:r w:rsidRPr="00A81070">
        <w:t xml:space="preserve">Following acceptance of the system, </w:t>
      </w:r>
      <w:r>
        <w:t>MDWFP</w:t>
      </w:r>
      <w:r w:rsidRPr="00A81070">
        <w:t xml:space="preserve"> staff will be responsible for conducting a Pilot test of the production system at several locations to be determined by </w:t>
      </w:r>
      <w:r>
        <w:t>MDWFP</w:t>
      </w:r>
      <w:r w:rsidRPr="00A81070">
        <w:t xml:space="preserve"> to ensure the system operates according to the specifications outlined in this RFP in a live, day-to-day business environment.  The Vendor must provide technical staff onsite to assist with</w:t>
      </w:r>
      <w:r>
        <w:t xml:space="preserve"> the</w:t>
      </w:r>
      <w:r w:rsidRPr="00A81070">
        <w:t xml:space="preserve"> Pilot test as requested by </w:t>
      </w:r>
      <w:r>
        <w:t>MDWFP</w:t>
      </w:r>
      <w:r w:rsidRPr="00A81070">
        <w:t>. The Pilot test will run for a minimum of ninety (90) days.  All defects will be documented and prioritized by the State as described above.  Defects categorized as severity level 1-3 must be corrected prior to the statewide rollout and the start of Final Acceptance testing. All corrections will be made in the development environment and migrated into the testing environment for regression QA/Acceptance testing. The State will certify in writing when the system has completed Pilot testing.</w:t>
      </w:r>
    </w:p>
    <w:p w14:paraId="44257655" w14:textId="77777777" w:rsidR="00904FFB" w:rsidRPr="00A81070" w:rsidRDefault="00904FFB" w:rsidP="00904FFB">
      <w:pPr>
        <w:pStyle w:val="Level2"/>
      </w:pPr>
      <w:r w:rsidRPr="00A81070">
        <w:t>Final Acceptance Requirements</w:t>
      </w:r>
    </w:p>
    <w:p w14:paraId="6C39807B"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bookmarkStart w:id="131" w:name="_Toc156120567"/>
      <w:r w:rsidRPr="005E4460">
        <w:rPr>
          <w:rFonts w:ascii="Arial" w:hAnsi="Arial" w:cs="Arial"/>
          <w:sz w:val="22"/>
          <w:szCs w:val="22"/>
        </w:rPr>
        <w:t xml:space="preserve">After completion of Pilot testing, </w:t>
      </w:r>
      <w:r>
        <w:rPr>
          <w:rFonts w:ascii="Arial" w:hAnsi="Arial" w:cs="Arial"/>
          <w:sz w:val="22"/>
          <w:szCs w:val="22"/>
        </w:rPr>
        <w:t>MDWFP</w:t>
      </w:r>
      <w:r w:rsidRPr="005E4460">
        <w:rPr>
          <w:rFonts w:ascii="Arial" w:hAnsi="Arial" w:cs="Arial"/>
          <w:sz w:val="22"/>
          <w:szCs w:val="22"/>
        </w:rPr>
        <w:t xml:space="preserve"> shall begin the statewide deployment of the system. After cut-over of the final district/site, the State shall begin the Final Acceptance period of ninety (90) working days. “Final Acceptance” shall mean written notice from the State that it has accepted the system upon successful completion of the 90 working day period of statewide production deployment during which time the system conformed in all material respects to the applicable specifications with no additional defects found.</w:t>
      </w:r>
    </w:p>
    <w:p w14:paraId="7502EB36"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This period includes, without limitation, correction of errors, design deficiencies, performance deficiencies, and incorrect or defective documentation.</w:t>
      </w:r>
      <w:r w:rsidR="001967BC">
        <w:rPr>
          <w:rFonts w:ascii="Arial" w:hAnsi="Arial" w:cs="Arial"/>
          <w:sz w:val="22"/>
          <w:szCs w:val="22"/>
        </w:rPr>
        <w:t xml:space="preserve"> </w:t>
      </w:r>
      <w:r w:rsidRPr="005E4460">
        <w:rPr>
          <w:rFonts w:ascii="Arial" w:hAnsi="Arial" w:cs="Arial"/>
          <w:sz w:val="22"/>
          <w:szCs w:val="22"/>
        </w:rPr>
        <w:t xml:space="preserve">Any defects found will be documented and prioritized by the State and must be corrected by the Vendor at no additional cost within the time frame specified by their priority level.  All corrections will be made in the development environment and migrated into the testing environment to be regression/QA tested.  All new releases must be approved by </w:t>
      </w:r>
      <w:r>
        <w:rPr>
          <w:rFonts w:ascii="Arial" w:hAnsi="Arial" w:cs="Arial"/>
          <w:sz w:val="22"/>
          <w:szCs w:val="22"/>
        </w:rPr>
        <w:t>MDWFP</w:t>
      </w:r>
      <w:r w:rsidRPr="005E4460">
        <w:rPr>
          <w:rFonts w:ascii="Arial" w:hAnsi="Arial" w:cs="Arial"/>
          <w:sz w:val="22"/>
          <w:szCs w:val="22"/>
        </w:rPr>
        <w:t xml:space="preserve"> prior to being moved into production. </w:t>
      </w:r>
    </w:p>
    <w:p w14:paraId="0C0672A1"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lastRenderedPageBreak/>
        <w:t>Following Final Acceptance of the system by the State, the Vendor must deliver the integrated design framework which contains all relevant tools and technical information required to implement, modify and maintain the application for any developed and/or custom tailored software.</w:t>
      </w:r>
    </w:p>
    <w:p w14:paraId="6E682F47" w14:textId="77777777" w:rsidR="00904FFB" w:rsidRPr="00A81070" w:rsidRDefault="00904FFB" w:rsidP="00904FFB">
      <w:pPr>
        <w:pStyle w:val="Level2"/>
      </w:pPr>
      <w:r w:rsidRPr="00A81070">
        <w:t>Post-Implementation Support</w:t>
      </w:r>
    </w:p>
    <w:bookmarkEnd w:id="131"/>
    <w:p w14:paraId="2DEA97C0" w14:textId="77777777" w:rsidR="00904FFB" w:rsidRPr="005E4460" w:rsidRDefault="00904FFB" w:rsidP="00904FFB">
      <w:pPr>
        <w:pStyle w:val="Level3"/>
        <w:tabs>
          <w:tab w:val="clear" w:pos="1800"/>
          <w:tab w:val="num" w:pos="2160"/>
        </w:tabs>
        <w:ind w:left="2880" w:hanging="1080"/>
        <w:jc w:val="both"/>
        <w:rPr>
          <w:rFonts w:ascii="Arial" w:hAnsi="Arial" w:cs="Arial"/>
          <w:sz w:val="22"/>
          <w:szCs w:val="22"/>
        </w:rPr>
      </w:pPr>
      <w:r w:rsidRPr="005E4460">
        <w:rPr>
          <w:rFonts w:ascii="Arial" w:hAnsi="Arial" w:cs="Arial"/>
          <w:sz w:val="22"/>
          <w:szCs w:val="22"/>
        </w:rPr>
        <w:t xml:space="preserve">The Final Acceptance period will be followed by ninety (90) days of Post-Implementation Support prior to the start of the minimum Warranty period. The Post-Implementation support period will not begin until the Vendor has received written notification of Final Acceptance from the </w:t>
      </w:r>
      <w:r>
        <w:rPr>
          <w:rFonts w:ascii="Arial" w:hAnsi="Arial" w:cs="Arial"/>
          <w:sz w:val="22"/>
          <w:szCs w:val="22"/>
        </w:rPr>
        <w:t>MDWFP</w:t>
      </w:r>
      <w:r w:rsidRPr="005E4460">
        <w:rPr>
          <w:rFonts w:ascii="Arial" w:hAnsi="Arial" w:cs="Arial"/>
          <w:sz w:val="22"/>
          <w:szCs w:val="22"/>
        </w:rPr>
        <w:t>.</w:t>
      </w:r>
    </w:p>
    <w:p w14:paraId="1BCC7C64" w14:textId="77777777" w:rsidR="00904FFB" w:rsidRDefault="00904FFB" w:rsidP="00883216">
      <w:pPr>
        <w:pStyle w:val="Level3"/>
        <w:tabs>
          <w:tab w:val="clear" w:pos="1800"/>
          <w:tab w:val="num" w:pos="2160"/>
        </w:tabs>
        <w:ind w:left="2880" w:hanging="1080"/>
        <w:jc w:val="both"/>
      </w:pPr>
      <w:r w:rsidRPr="005E4460">
        <w:rPr>
          <w:rFonts w:ascii="Arial" w:hAnsi="Arial" w:cs="Arial"/>
          <w:sz w:val="22"/>
          <w:szCs w:val="22"/>
        </w:rPr>
        <w:t>Any defects found will be documented and prioritized by the State.  During this period, the Vendor will agree to correct any errors discovered at his own expense and in accordance with the specified amount of time for that category.</w:t>
      </w:r>
    </w:p>
    <w:p w14:paraId="0ECCC16D" w14:textId="77777777" w:rsidR="00904FFB" w:rsidRPr="00512FF6" w:rsidRDefault="00904FFB" w:rsidP="00904FFB">
      <w:pPr>
        <w:pStyle w:val="Level1"/>
        <w:rPr>
          <w:rFonts w:ascii="Arial" w:hAnsi="Arial" w:cs="Arial"/>
          <w:b/>
          <w:sz w:val="22"/>
          <w:szCs w:val="22"/>
        </w:rPr>
      </w:pPr>
      <w:r w:rsidRPr="00512FF6">
        <w:rPr>
          <w:rFonts w:ascii="Arial" w:hAnsi="Arial" w:cs="Arial"/>
          <w:b/>
          <w:sz w:val="22"/>
          <w:szCs w:val="22"/>
        </w:rPr>
        <w:t>Support Requirements</w:t>
      </w:r>
    </w:p>
    <w:p w14:paraId="602535CF" w14:textId="77777777" w:rsidR="00904FFB" w:rsidRPr="005409E3" w:rsidRDefault="00904FFB" w:rsidP="00904FFB">
      <w:pPr>
        <w:pStyle w:val="Level2"/>
      </w:pPr>
      <w:r w:rsidRPr="005409E3">
        <w:t>Vendor must respond by telephone within one (1) hour to requests for support services. The Agency must be given priority placement in the support queue for all System locking situations or problems claimed by Agency to be a mission critical process.</w:t>
      </w:r>
    </w:p>
    <w:p w14:paraId="0E8E1D6B" w14:textId="77777777" w:rsidR="00904FFB" w:rsidRPr="005409E3" w:rsidRDefault="00904FFB" w:rsidP="00904FFB">
      <w:pPr>
        <w:pStyle w:val="Level2"/>
      </w:pPr>
      <w:r w:rsidRPr="005409E3">
        <w:t>Upon receipt of the Agency’s call, Vendor must create a trouble ticket, assign a severity level and attempt to resolve the System problem in accordance with the procedures and processes for problem resolution detailed below.</w:t>
      </w:r>
      <w:r w:rsidR="00B12E04">
        <w:t xml:space="preserve"> </w:t>
      </w:r>
      <w:r w:rsidRPr="005409E3">
        <w:t>The Agency and Vendor must mutually agree on whether a problem is classified as a Severity Level 1, 2, or 3 problem.</w:t>
      </w:r>
    </w:p>
    <w:p w14:paraId="7D0B55D4" w14:textId="77777777" w:rsidR="00904FFB" w:rsidRPr="005409E3" w:rsidRDefault="00904FFB" w:rsidP="00904FFB">
      <w:pPr>
        <w:pStyle w:val="Level3"/>
        <w:tabs>
          <w:tab w:val="clear" w:pos="1800"/>
          <w:tab w:val="num" w:pos="2160"/>
        </w:tabs>
        <w:ind w:left="2880" w:hanging="1080"/>
        <w:jc w:val="both"/>
        <w:rPr>
          <w:rFonts w:ascii="Arial" w:hAnsi="Arial" w:cs="Arial"/>
          <w:sz w:val="22"/>
          <w:szCs w:val="22"/>
        </w:rPr>
      </w:pPr>
      <w:r w:rsidRPr="005409E3">
        <w:rPr>
          <w:rFonts w:ascii="Arial" w:hAnsi="Arial" w:cs="Arial"/>
          <w:sz w:val="22"/>
          <w:szCs w:val="22"/>
        </w:rPr>
        <w:t xml:space="preserve">Severity Level 1 implies that the System is not functioning. Some examples of Severity Level 1 System problems are: System is down and will not restart; or System is not able to communicate with external systems or users; or System is generating a data corruption condition. </w:t>
      </w:r>
    </w:p>
    <w:p w14:paraId="36E89C8E" w14:textId="77777777" w:rsidR="00904FFB" w:rsidRPr="001A0727" w:rsidRDefault="00904FFB" w:rsidP="00477EF3">
      <w:pPr>
        <w:pStyle w:val="Level4"/>
        <w:tabs>
          <w:tab w:val="clear" w:pos="3600"/>
        </w:tabs>
        <w:spacing w:after="240"/>
        <w:jc w:val="both"/>
        <w:rPr>
          <w:rFonts w:ascii="Arial" w:hAnsi="Arial" w:cs="Arial"/>
          <w:sz w:val="22"/>
          <w:szCs w:val="22"/>
        </w:rPr>
      </w:pPr>
      <w:r w:rsidRPr="001A0727">
        <w:rPr>
          <w:rFonts w:ascii="Arial" w:hAnsi="Arial" w:cs="Arial"/>
          <w:sz w:val="22"/>
          <w:szCs w:val="22"/>
        </w:rPr>
        <w:t xml:space="preserve">Vendor must resolve Severity Level 1 System problems within one (1) business day, or within a mutually agreed upon time frame. </w:t>
      </w:r>
    </w:p>
    <w:p w14:paraId="14CAB4DA" w14:textId="77777777" w:rsidR="00904FFB" w:rsidRPr="001A0727" w:rsidRDefault="00904FFB" w:rsidP="00904FFB">
      <w:pPr>
        <w:pStyle w:val="Level3"/>
        <w:tabs>
          <w:tab w:val="clear" w:pos="1800"/>
          <w:tab w:val="num" w:pos="2160"/>
        </w:tabs>
        <w:ind w:left="2880" w:hanging="1080"/>
        <w:jc w:val="both"/>
        <w:rPr>
          <w:rFonts w:ascii="Arial" w:hAnsi="Arial" w:cs="Arial"/>
          <w:sz w:val="22"/>
          <w:szCs w:val="22"/>
        </w:rPr>
      </w:pPr>
      <w:r w:rsidRPr="001A0727">
        <w:rPr>
          <w:rFonts w:ascii="Arial" w:hAnsi="Arial" w:cs="Arial"/>
          <w:sz w:val="22"/>
          <w:szCs w:val="22"/>
        </w:rPr>
        <w:t xml:space="preserve">Severity Level 2 implies that an essential function does not work as documented, or testing and usage can continue but the task cannot be completed, and no workarounds exist. </w:t>
      </w:r>
    </w:p>
    <w:p w14:paraId="3F88CAB0" w14:textId="77777777" w:rsidR="00904FFB" w:rsidRPr="005409E3" w:rsidRDefault="00904FFB" w:rsidP="00477EF3">
      <w:pPr>
        <w:pStyle w:val="Level4"/>
        <w:tabs>
          <w:tab w:val="clear" w:pos="3600"/>
        </w:tabs>
        <w:spacing w:after="240"/>
        <w:jc w:val="both"/>
        <w:rPr>
          <w:rFonts w:ascii="Arial" w:hAnsi="Arial" w:cs="Arial"/>
          <w:sz w:val="22"/>
          <w:szCs w:val="22"/>
        </w:rPr>
      </w:pPr>
      <w:r w:rsidRPr="005409E3">
        <w:rPr>
          <w:rFonts w:ascii="Arial" w:hAnsi="Arial" w:cs="Arial"/>
          <w:sz w:val="22"/>
          <w:szCs w:val="22"/>
        </w:rPr>
        <w:t xml:space="preserve">Vendor must resolve Severity Level 2 System problems within two (2) business days, or within a mutually agreed upon time frame. </w:t>
      </w:r>
    </w:p>
    <w:p w14:paraId="7DD4A451" w14:textId="77777777" w:rsidR="00904FFB" w:rsidRPr="001A0727" w:rsidRDefault="00904FFB" w:rsidP="00904FFB">
      <w:pPr>
        <w:pStyle w:val="Level3"/>
        <w:tabs>
          <w:tab w:val="clear" w:pos="1800"/>
          <w:tab w:val="num" w:pos="2160"/>
        </w:tabs>
        <w:ind w:left="2880" w:hanging="1080"/>
        <w:jc w:val="both"/>
        <w:rPr>
          <w:rFonts w:ascii="Arial" w:hAnsi="Arial" w:cs="Arial"/>
          <w:sz w:val="22"/>
          <w:szCs w:val="22"/>
        </w:rPr>
      </w:pPr>
      <w:r w:rsidRPr="001A0727">
        <w:rPr>
          <w:rFonts w:ascii="Arial" w:hAnsi="Arial" w:cs="Arial"/>
          <w:sz w:val="22"/>
          <w:szCs w:val="22"/>
        </w:rPr>
        <w:lastRenderedPageBreak/>
        <w:t xml:space="preserve">Severity Level 3 implies a System problem such that implementations of functions do not match specifications and/or technical documentation, and a workaround may exist. </w:t>
      </w:r>
    </w:p>
    <w:p w14:paraId="61B0A438" w14:textId="77777777" w:rsidR="00904FFB" w:rsidRPr="001A0727" w:rsidRDefault="00904FFB" w:rsidP="00477EF3">
      <w:pPr>
        <w:pStyle w:val="Level4"/>
        <w:tabs>
          <w:tab w:val="clear" w:pos="3600"/>
        </w:tabs>
        <w:spacing w:after="240"/>
        <w:jc w:val="both"/>
        <w:rPr>
          <w:rFonts w:ascii="Arial" w:hAnsi="Arial" w:cs="Arial"/>
          <w:sz w:val="22"/>
          <w:szCs w:val="22"/>
        </w:rPr>
      </w:pPr>
      <w:r w:rsidRPr="001A0727">
        <w:rPr>
          <w:rFonts w:ascii="Arial" w:hAnsi="Arial" w:cs="Arial"/>
          <w:sz w:val="22"/>
          <w:szCs w:val="22"/>
        </w:rPr>
        <w:t>Vendor must resolve Severity Level 3 System problems within ten (10) business days, or within a mutually agreed upon time frame.</w:t>
      </w:r>
    </w:p>
    <w:p w14:paraId="5098EEA8" w14:textId="77777777" w:rsidR="00904FFB" w:rsidRPr="003560BD" w:rsidRDefault="00904FFB" w:rsidP="00904FFB">
      <w:pPr>
        <w:pStyle w:val="Level1"/>
        <w:jc w:val="both"/>
        <w:rPr>
          <w:rFonts w:ascii="Arial" w:hAnsi="Arial" w:cs="Arial"/>
          <w:b/>
          <w:bCs/>
          <w:sz w:val="22"/>
          <w:szCs w:val="22"/>
        </w:rPr>
      </w:pPr>
      <w:r w:rsidRPr="003560BD">
        <w:rPr>
          <w:rFonts w:ascii="Arial" w:hAnsi="Arial" w:cs="Arial"/>
          <w:b/>
          <w:bCs/>
          <w:sz w:val="22"/>
          <w:szCs w:val="22"/>
        </w:rPr>
        <w:t>Training</w:t>
      </w:r>
    </w:p>
    <w:p w14:paraId="1608759B" w14:textId="77777777" w:rsidR="00904FFB" w:rsidRDefault="00904FFB" w:rsidP="00904FFB">
      <w:pPr>
        <w:pStyle w:val="Level2"/>
      </w:pPr>
      <w:r w:rsidRPr="005409E3">
        <w:t xml:space="preserve">Vendor must propose multi-level training for at </w:t>
      </w:r>
      <w:r w:rsidRPr="00B84151">
        <w:t xml:space="preserve">least </w:t>
      </w:r>
      <w:r w:rsidR="00276AF7">
        <w:t>four</w:t>
      </w:r>
      <w:r w:rsidR="00276AF7" w:rsidRPr="00B84151">
        <w:t xml:space="preserve"> </w:t>
      </w:r>
      <w:r w:rsidRPr="004F577C">
        <w:t>(</w:t>
      </w:r>
      <w:r>
        <w:t>4</w:t>
      </w:r>
      <w:r w:rsidRPr="009278FA">
        <w:t>) users and two (2) administrators of Agency personnel.</w:t>
      </w:r>
      <w:r w:rsidR="00B12E04">
        <w:t xml:space="preserve"> </w:t>
      </w:r>
      <w:r w:rsidRPr="009278FA">
        <w:t>Vendor must train a designated</w:t>
      </w:r>
      <w:r w:rsidRPr="004F577C">
        <w:t xml:space="preserve"> sta</w:t>
      </w:r>
      <w:r w:rsidRPr="005409E3">
        <w:t xml:space="preserve">ff person in all aspects of systems administration for the proposed System.  Agency staff must be trained in the competent use of the </w:t>
      </w:r>
      <w:r>
        <w:t>Golf Management</w:t>
      </w:r>
      <w:r w:rsidRPr="005409E3">
        <w:t xml:space="preserve"> </w:t>
      </w:r>
      <w:r>
        <w:t>S</w:t>
      </w:r>
      <w:r w:rsidRPr="005409E3">
        <w:t xml:space="preserve">ystem modules as well as the query and reporting tools. </w:t>
      </w:r>
    </w:p>
    <w:p w14:paraId="5D94753A" w14:textId="77777777" w:rsidR="00904FFB" w:rsidRPr="009278FA" w:rsidRDefault="00904FFB" w:rsidP="00904FFB">
      <w:pPr>
        <w:pStyle w:val="Level2"/>
      </w:pPr>
      <w:r>
        <w:t>MDWFP</w:t>
      </w:r>
      <w:r w:rsidRPr="009278FA">
        <w:t xml:space="preserve"> envisions a train-the-trainer approach to provide training to remote staff. Vendor must provide training material in a format that is easily repeatable.</w:t>
      </w:r>
    </w:p>
    <w:p w14:paraId="23621B92" w14:textId="77777777" w:rsidR="00904FFB" w:rsidRPr="005409E3" w:rsidRDefault="00904FFB" w:rsidP="00904FFB">
      <w:pPr>
        <w:pStyle w:val="Level2"/>
      </w:pPr>
      <w:r w:rsidRPr="005409E3">
        <w:t>Vendor must describe the proposed training plan to include class objectives, scope, length of each class, class size and subject materials to be taught, and identify the costs associated with this requirement.</w:t>
      </w:r>
    </w:p>
    <w:p w14:paraId="05C8804B" w14:textId="77777777" w:rsidR="00904FFB" w:rsidRPr="005409E3" w:rsidRDefault="00904FFB" w:rsidP="00904FFB">
      <w:pPr>
        <w:pStyle w:val="Level2"/>
      </w:pPr>
      <w:r w:rsidRPr="005409E3">
        <w:t>In addition, Vendor must furnish a training tutorial that will enable a new employee to perform system-related functions from day one of employment.  This tutorial must take the employee through a stepwise introduction of each task necessary to perform any function of the system.  The tutorial must be updated with each update the Vendor makes to their application software.</w:t>
      </w:r>
    </w:p>
    <w:p w14:paraId="77EE5EF6" w14:textId="77777777" w:rsidR="007A3D73" w:rsidRDefault="007A3D73" w:rsidP="007A3D73">
      <w:pPr>
        <w:pStyle w:val="Level1"/>
        <w:rPr>
          <w:rFonts w:ascii="Arial" w:hAnsi="Arial" w:cs="Arial"/>
          <w:b/>
          <w:sz w:val="22"/>
          <w:szCs w:val="22"/>
        </w:rPr>
      </w:pPr>
      <w:r>
        <w:rPr>
          <w:rFonts w:ascii="Arial" w:hAnsi="Arial" w:cs="Arial"/>
          <w:b/>
          <w:sz w:val="22"/>
          <w:szCs w:val="22"/>
        </w:rPr>
        <w:t>Cost Proposal</w:t>
      </w:r>
    </w:p>
    <w:p w14:paraId="0EBDF988" w14:textId="77777777" w:rsidR="007A3D73" w:rsidRDefault="007A3D73" w:rsidP="007A3D73">
      <w:pPr>
        <w:pStyle w:val="Level2"/>
      </w:pPr>
      <w:r>
        <w:t>Vendor must explain the proposed pricing model and explain whether the pricing model differs for the reservation system vs. the point of sale system.</w:t>
      </w:r>
    </w:p>
    <w:p w14:paraId="291A9B1E" w14:textId="77777777" w:rsidR="007A3D73" w:rsidRDefault="007A3D73" w:rsidP="007A3D73">
      <w:pPr>
        <w:pStyle w:val="Level2"/>
      </w:pPr>
      <w:r w:rsidRPr="00AD5E69">
        <w:t>It is MDWFP’s intent that the system be implemented and maintained by fees generated by customer usage.</w:t>
      </w:r>
    </w:p>
    <w:p w14:paraId="7CBD9706" w14:textId="77777777" w:rsidR="007A3D73" w:rsidRDefault="007A3D73" w:rsidP="00EE78DC">
      <w:pPr>
        <w:pStyle w:val="Level2"/>
      </w:pPr>
      <w:r>
        <w:t>Vendor must explain whether the proposed pricing model charge is a flat fee or a percentage.</w:t>
      </w:r>
    </w:p>
    <w:p w14:paraId="1057CC2D" w14:textId="77777777" w:rsidR="00BF6B07" w:rsidRPr="00883216" w:rsidRDefault="00BF6B07" w:rsidP="00883216">
      <w:pPr>
        <w:pStyle w:val="Level1"/>
        <w:rPr>
          <w:rFonts w:ascii="Arial" w:hAnsi="Arial" w:cs="Arial"/>
          <w:b/>
          <w:sz w:val="22"/>
          <w:szCs w:val="22"/>
        </w:rPr>
      </w:pPr>
      <w:r w:rsidRPr="00883216">
        <w:rPr>
          <w:rFonts w:ascii="Arial" w:hAnsi="Arial" w:cs="Arial"/>
          <w:b/>
          <w:sz w:val="22"/>
          <w:szCs w:val="22"/>
        </w:rPr>
        <w:t>Additional Requirements</w:t>
      </w:r>
    </w:p>
    <w:p w14:paraId="13408BBA" w14:textId="77777777" w:rsidR="00BF6B07" w:rsidRDefault="00BF6B07" w:rsidP="00635AD0">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2E3D2CF2"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7BF2199A" w14:textId="77777777" w:rsidR="00BF6B07" w:rsidRPr="003560BD" w:rsidRDefault="00A25FE6" w:rsidP="00635AD0">
      <w:pPr>
        <w:pStyle w:val="Level2"/>
      </w:pPr>
      <w:r w:rsidRPr="003560BD">
        <w:lastRenderedPageBreak/>
        <w:t xml:space="preserve">An Evaluation Team composed of </w:t>
      </w:r>
      <w:r w:rsidR="00904FFB" w:rsidRPr="00883216">
        <w:t>MDWFP</w:t>
      </w:r>
      <w:r w:rsidRPr="00883216">
        <w:t xml:space="preserve"> and </w:t>
      </w:r>
      <w:r w:rsidRPr="00883216">
        <w:rPr>
          <w:b/>
        </w:rPr>
        <w:t>ITS</w:t>
      </w:r>
      <w:r w:rsidRPr="00883216">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11CD130C"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03606EA2"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14:paraId="2580E3F7"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14:paraId="5CB64D86" w14:textId="77777777" w:rsidR="00A25FE6" w:rsidRPr="00B64B16" w:rsidRDefault="00A25FE6" w:rsidP="00EE78DC">
      <w:pPr>
        <w:pStyle w:val="Level3"/>
        <w:spacing w:after="240"/>
        <w:ind w:left="2808" w:hanging="1008"/>
        <w:jc w:val="both"/>
        <w:rPr>
          <w:rFonts w:ascii="Arial" w:hAnsi="Arial" w:cs="Arial"/>
          <w:sz w:val="22"/>
          <w:szCs w:val="22"/>
        </w:rPr>
      </w:pPr>
      <w:r w:rsidRPr="00B64B16">
        <w:rPr>
          <w:rFonts w:ascii="Arial" w:hAnsi="Arial" w:cs="Arial"/>
          <w:sz w:val="22"/>
          <w:szCs w:val="22"/>
        </w:rPr>
        <w:t xml:space="preserve">For the evaluation of this </w:t>
      </w:r>
      <w:r w:rsidR="008E3DEF" w:rsidRPr="00B64B16">
        <w:rPr>
          <w:rFonts w:ascii="Arial" w:hAnsi="Arial" w:cs="Arial"/>
          <w:sz w:val="22"/>
          <w:szCs w:val="22"/>
        </w:rPr>
        <w:t>RFP</w:t>
      </w:r>
      <w:r w:rsidRPr="00B64B16">
        <w:rPr>
          <w:rFonts w:ascii="Arial" w:hAnsi="Arial" w:cs="Arial"/>
          <w:sz w:val="22"/>
          <w:szCs w:val="22"/>
        </w:rPr>
        <w:t>, the Evaluation Team will use the following categories and possible points:</w:t>
      </w: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95"/>
        <w:gridCol w:w="1170"/>
      </w:tblGrid>
      <w:tr w:rsidR="00A25FE6" w:rsidRPr="003560BD" w14:paraId="6E1F7F64" w14:textId="77777777" w:rsidTr="00883216">
        <w:tc>
          <w:tcPr>
            <w:tcW w:w="4195" w:type="dxa"/>
          </w:tcPr>
          <w:p w14:paraId="58C902DE"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170" w:type="dxa"/>
          </w:tcPr>
          <w:p w14:paraId="327FDBC9"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74963BDA" w14:textId="77777777" w:rsidTr="00883216">
        <w:tc>
          <w:tcPr>
            <w:tcW w:w="4195" w:type="dxa"/>
          </w:tcPr>
          <w:p w14:paraId="49670335"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170" w:type="dxa"/>
          </w:tcPr>
          <w:p w14:paraId="0FF2E70B" w14:textId="77777777" w:rsidR="00A25FE6" w:rsidRPr="003560BD" w:rsidRDefault="00A25FE6" w:rsidP="00F975A2">
            <w:pPr>
              <w:jc w:val="right"/>
              <w:rPr>
                <w:rFonts w:ascii="Arial" w:hAnsi="Arial" w:cs="Arial"/>
                <w:sz w:val="22"/>
                <w:szCs w:val="22"/>
              </w:rPr>
            </w:pPr>
          </w:p>
        </w:tc>
      </w:tr>
      <w:tr w:rsidR="00A25FE6" w:rsidRPr="003560BD" w14:paraId="2310F285" w14:textId="77777777" w:rsidTr="00883216">
        <w:tc>
          <w:tcPr>
            <w:tcW w:w="4195" w:type="dxa"/>
          </w:tcPr>
          <w:p w14:paraId="42831680" w14:textId="77777777" w:rsidR="00A25FE6" w:rsidRPr="003560BD" w:rsidRDefault="003151AF" w:rsidP="00DD6EC1">
            <w:pPr>
              <w:ind w:left="288"/>
              <w:rPr>
                <w:rFonts w:ascii="Arial" w:hAnsi="Arial" w:cs="Arial"/>
                <w:sz w:val="22"/>
                <w:szCs w:val="22"/>
              </w:rPr>
            </w:pPr>
            <w:r>
              <w:rPr>
                <w:rFonts w:ascii="Arial" w:hAnsi="Arial" w:cs="Arial"/>
                <w:sz w:val="22"/>
                <w:szCs w:val="22"/>
              </w:rPr>
              <w:t>Vendor Experience, Project Management, Reference</w:t>
            </w:r>
            <w:r w:rsidR="00062BF8">
              <w:rPr>
                <w:rFonts w:ascii="Arial" w:hAnsi="Arial" w:cs="Arial"/>
                <w:sz w:val="22"/>
                <w:szCs w:val="22"/>
              </w:rPr>
              <w:t>s</w:t>
            </w:r>
          </w:p>
        </w:tc>
        <w:tc>
          <w:tcPr>
            <w:tcW w:w="1170" w:type="dxa"/>
          </w:tcPr>
          <w:p w14:paraId="3A031387" w14:textId="77777777" w:rsidR="00A25FE6" w:rsidRPr="003560BD" w:rsidRDefault="003151AF" w:rsidP="00F975A2">
            <w:pPr>
              <w:jc w:val="right"/>
              <w:rPr>
                <w:rFonts w:ascii="Arial" w:hAnsi="Arial" w:cs="Arial"/>
                <w:sz w:val="22"/>
                <w:szCs w:val="22"/>
              </w:rPr>
            </w:pPr>
            <w:r>
              <w:rPr>
                <w:rFonts w:ascii="Arial" w:hAnsi="Arial" w:cs="Arial"/>
                <w:sz w:val="22"/>
                <w:szCs w:val="22"/>
              </w:rPr>
              <w:t>15</w:t>
            </w:r>
          </w:p>
        </w:tc>
      </w:tr>
      <w:tr w:rsidR="00A25FE6" w:rsidRPr="003560BD" w14:paraId="614D8DAB" w14:textId="77777777" w:rsidTr="00883216">
        <w:trPr>
          <w:trHeight w:val="233"/>
        </w:trPr>
        <w:tc>
          <w:tcPr>
            <w:tcW w:w="4195" w:type="dxa"/>
          </w:tcPr>
          <w:p w14:paraId="5C348EF0" w14:textId="77777777" w:rsidR="00A25FE6" w:rsidRPr="003560BD" w:rsidRDefault="003151AF" w:rsidP="00DD6EC1">
            <w:pPr>
              <w:ind w:left="288"/>
              <w:rPr>
                <w:rFonts w:ascii="Arial" w:hAnsi="Arial" w:cs="Arial"/>
                <w:sz w:val="22"/>
                <w:szCs w:val="22"/>
              </w:rPr>
            </w:pPr>
            <w:r>
              <w:rPr>
                <w:rFonts w:ascii="Arial" w:hAnsi="Arial" w:cs="Arial"/>
                <w:sz w:val="22"/>
                <w:szCs w:val="22"/>
              </w:rPr>
              <w:t>Functional Requirements and Hosting</w:t>
            </w:r>
          </w:p>
        </w:tc>
        <w:tc>
          <w:tcPr>
            <w:tcW w:w="1170" w:type="dxa"/>
          </w:tcPr>
          <w:p w14:paraId="675C76FC" w14:textId="77777777" w:rsidR="00A25FE6" w:rsidRPr="003560BD" w:rsidRDefault="003151AF" w:rsidP="00F975A2">
            <w:pPr>
              <w:jc w:val="right"/>
              <w:rPr>
                <w:rFonts w:ascii="Arial" w:hAnsi="Arial" w:cs="Arial"/>
                <w:sz w:val="22"/>
                <w:szCs w:val="22"/>
              </w:rPr>
            </w:pPr>
            <w:r>
              <w:rPr>
                <w:rFonts w:ascii="Arial" w:hAnsi="Arial" w:cs="Arial"/>
                <w:sz w:val="22"/>
                <w:szCs w:val="22"/>
              </w:rPr>
              <w:t>25</w:t>
            </w:r>
          </w:p>
        </w:tc>
      </w:tr>
      <w:tr w:rsidR="003151AF" w:rsidRPr="003560BD" w14:paraId="406B6E15" w14:textId="77777777" w:rsidTr="00883216">
        <w:trPr>
          <w:trHeight w:val="233"/>
        </w:trPr>
        <w:tc>
          <w:tcPr>
            <w:tcW w:w="4195" w:type="dxa"/>
          </w:tcPr>
          <w:p w14:paraId="7740B714" w14:textId="77777777" w:rsidR="003151AF" w:rsidRPr="003560BD" w:rsidRDefault="003151AF" w:rsidP="00DD6EC1">
            <w:pPr>
              <w:ind w:left="288"/>
              <w:rPr>
                <w:rFonts w:ascii="Arial" w:hAnsi="Arial" w:cs="Arial"/>
                <w:sz w:val="22"/>
                <w:szCs w:val="22"/>
              </w:rPr>
            </w:pPr>
            <w:r>
              <w:rPr>
                <w:rFonts w:ascii="Arial" w:hAnsi="Arial" w:cs="Arial"/>
                <w:sz w:val="22"/>
                <w:szCs w:val="22"/>
              </w:rPr>
              <w:t>Installation and Data Conversion</w:t>
            </w:r>
          </w:p>
        </w:tc>
        <w:tc>
          <w:tcPr>
            <w:tcW w:w="1170" w:type="dxa"/>
          </w:tcPr>
          <w:p w14:paraId="08BC71EE" w14:textId="77777777" w:rsidR="003151AF" w:rsidRPr="003560BD" w:rsidRDefault="003151AF" w:rsidP="00F975A2">
            <w:pPr>
              <w:jc w:val="right"/>
              <w:rPr>
                <w:rFonts w:ascii="Arial" w:hAnsi="Arial" w:cs="Arial"/>
                <w:sz w:val="22"/>
                <w:szCs w:val="22"/>
              </w:rPr>
            </w:pPr>
            <w:r>
              <w:rPr>
                <w:rFonts w:ascii="Arial" w:hAnsi="Arial" w:cs="Arial"/>
                <w:sz w:val="22"/>
                <w:szCs w:val="22"/>
              </w:rPr>
              <w:t>10</w:t>
            </w:r>
          </w:p>
        </w:tc>
      </w:tr>
      <w:tr w:rsidR="003151AF" w:rsidRPr="003560BD" w14:paraId="7226FAE0" w14:textId="77777777" w:rsidTr="00883216">
        <w:trPr>
          <w:trHeight w:val="233"/>
        </w:trPr>
        <w:tc>
          <w:tcPr>
            <w:tcW w:w="4195" w:type="dxa"/>
          </w:tcPr>
          <w:p w14:paraId="746B056D" w14:textId="77777777" w:rsidR="003151AF" w:rsidRPr="003560BD" w:rsidRDefault="003151AF" w:rsidP="00DD6EC1">
            <w:pPr>
              <w:ind w:left="288"/>
              <w:rPr>
                <w:rFonts w:ascii="Arial" w:hAnsi="Arial" w:cs="Arial"/>
                <w:sz w:val="22"/>
                <w:szCs w:val="22"/>
              </w:rPr>
            </w:pPr>
            <w:r>
              <w:rPr>
                <w:rFonts w:ascii="Arial" w:hAnsi="Arial" w:cs="Arial"/>
                <w:sz w:val="22"/>
                <w:szCs w:val="22"/>
              </w:rPr>
              <w:t>Support and Training</w:t>
            </w:r>
          </w:p>
        </w:tc>
        <w:tc>
          <w:tcPr>
            <w:tcW w:w="1170" w:type="dxa"/>
          </w:tcPr>
          <w:p w14:paraId="48BC12B8" w14:textId="77777777" w:rsidR="003151AF" w:rsidRPr="003560BD" w:rsidRDefault="003151AF" w:rsidP="00F975A2">
            <w:pPr>
              <w:jc w:val="right"/>
              <w:rPr>
                <w:rFonts w:ascii="Arial" w:hAnsi="Arial" w:cs="Arial"/>
                <w:sz w:val="22"/>
                <w:szCs w:val="22"/>
              </w:rPr>
            </w:pPr>
            <w:r>
              <w:rPr>
                <w:rFonts w:ascii="Arial" w:hAnsi="Arial" w:cs="Arial"/>
                <w:sz w:val="22"/>
                <w:szCs w:val="22"/>
              </w:rPr>
              <w:t>5</w:t>
            </w:r>
          </w:p>
        </w:tc>
      </w:tr>
      <w:tr w:rsidR="00A25FE6" w:rsidRPr="003560BD" w14:paraId="409D101D" w14:textId="77777777" w:rsidTr="00883216">
        <w:tc>
          <w:tcPr>
            <w:tcW w:w="4195" w:type="dxa"/>
          </w:tcPr>
          <w:p w14:paraId="5C736201"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170" w:type="dxa"/>
          </w:tcPr>
          <w:p w14:paraId="5183994D" w14:textId="77777777" w:rsidR="00A25FE6" w:rsidRPr="003560BD" w:rsidRDefault="00A25FE6" w:rsidP="00F975A2">
            <w:pPr>
              <w:jc w:val="right"/>
              <w:rPr>
                <w:rFonts w:ascii="Arial" w:hAnsi="Arial" w:cs="Arial"/>
                <w:sz w:val="22"/>
                <w:szCs w:val="22"/>
                <w:highlight w:val="yellow"/>
              </w:rPr>
            </w:pPr>
            <w:r w:rsidRPr="00883216">
              <w:rPr>
                <w:rFonts w:ascii="Arial" w:hAnsi="Arial" w:cs="Arial"/>
                <w:sz w:val="22"/>
                <w:szCs w:val="22"/>
              </w:rPr>
              <w:t>55</w:t>
            </w:r>
          </w:p>
        </w:tc>
      </w:tr>
      <w:tr w:rsidR="00A25FE6" w:rsidRPr="003560BD" w14:paraId="10C606BA" w14:textId="77777777" w:rsidTr="00883216">
        <w:tc>
          <w:tcPr>
            <w:tcW w:w="4195" w:type="dxa"/>
          </w:tcPr>
          <w:p w14:paraId="64800D03"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170" w:type="dxa"/>
          </w:tcPr>
          <w:p w14:paraId="1F801C2F" w14:textId="77777777" w:rsidR="00A25FE6" w:rsidRPr="003560BD" w:rsidRDefault="00A25FE6" w:rsidP="00F975A2">
            <w:pPr>
              <w:jc w:val="right"/>
              <w:rPr>
                <w:rFonts w:ascii="Arial" w:hAnsi="Arial" w:cs="Arial"/>
                <w:sz w:val="22"/>
                <w:szCs w:val="22"/>
                <w:highlight w:val="yellow"/>
              </w:rPr>
            </w:pPr>
            <w:r w:rsidRPr="00883216">
              <w:rPr>
                <w:rFonts w:ascii="Arial" w:hAnsi="Arial" w:cs="Arial"/>
                <w:sz w:val="22"/>
                <w:szCs w:val="22"/>
              </w:rPr>
              <w:t>45</w:t>
            </w:r>
          </w:p>
        </w:tc>
      </w:tr>
      <w:tr w:rsidR="00A25FE6" w:rsidRPr="003560BD" w14:paraId="0F95C499" w14:textId="77777777" w:rsidTr="00883216">
        <w:tc>
          <w:tcPr>
            <w:tcW w:w="4195" w:type="dxa"/>
          </w:tcPr>
          <w:p w14:paraId="17FCC445"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170" w:type="dxa"/>
          </w:tcPr>
          <w:p w14:paraId="57025578" w14:textId="77777777" w:rsidR="00A25FE6" w:rsidRPr="00883216" w:rsidRDefault="00A25FE6" w:rsidP="00F975A2">
            <w:pPr>
              <w:jc w:val="right"/>
              <w:rPr>
                <w:rFonts w:ascii="Arial" w:hAnsi="Arial" w:cs="Arial"/>
                <w:sz w:val="22"/>
                <w:szCs w:val="22"/>
              </w:rPr>
            </w:pPr>
            <w:r w:rsidRPr="00883216">
              <w:rPr>
                <w:rFonts w:ascii="Arial" w:hAnsi="Arial" w:cs="Arial"/>
                <w:sz w:val="22"/>
                <w:szCs w:val="22"/>
              </w:rPr>
              <w:t>100</w:t>
            </w:r>
          </w:p>
        </w:tc>
      </w:tr>
      <w:tr w:rsidR="00A25FE6" w:rsidRPr="003560BD" w14:paraId="1B74BA3E" w14:textId="77777777" w:rsidTr="00883216">
        <w:tc>
          <w:tcPr>
            <w:tcW w:w="4195" w:type="dxa"/>
          </w:tcPr>
          <w:p w14:paraId="7FA3D98D"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170" w:type="dxa"/>
          </w:tcPr>
          <w:p w14:paraId="4BDDEA5C" w14:textId="77777777" w:rsidR="00A25FE6" w:rsidRPr="00883216" w:rsidRDefault="00A25FE6" w:rsidP="00F975A2">
            <w:pPr>
              <w:jc w:val="right"/>
              <w:rPr>
                <w:rFonts w:ascii="Arial" w:hAnsi="Arial" w:cs="Arial"/>
                <w:sz w:val="22"/>
                <w:szCs w:val="22"/>
              </w:rPr>
            </w:pPr>
            <w:r w:rsidRPr="00883216">
              <w:rPr>
                <w:rFonts w:ascii="Arial" w:hAnsi="Arial" w:cs="Arial"/>
                <w:sz w:val="22"/>
                <w:szCs w:val="22"/>
              </w:rPr>
              <w:t>5</w:t>
            </w:r>
          </w:p>
        </w:tc>
      </w:tr>
      <w:tr w:rsidR="00A25FE6" w:rsidRPr="003560BD" w14:paraId="764186AE" w14:textId="77777777" w:rsidTr="00883216">
        <w:tc>
          <w:tcPr>
            <w:tcW w:w="4195" w:type="dxa"/>
          </w:tcPr>
          <w:p w14:paraId="6819A8C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170" w:type="dxa"/>
          </w:tcPr>
          <w:p w14:paraId="3B6D96DE" w14:textId="77777777"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14:paraId="4AD8BEB7" w14:textId="77777777" w:rsidR="00A25FE6" w:rsidRPr="003560BD" w:rsidRDefault="00A25FE6" w:rsidP="00635AD0">
      <w:pPr>
        <w:pStyle w:val="Level2"/>
      </w:pPr>
      <w:r w:rsidRPr="003560BD">
        <w:t>The evaluation will be conducted in four stages as follows:</w:t>
      </w:r>
    </w:p>
    <w:p w14:paraId="781955E8" w14:textId="77777777"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number of copies, bond requirement,</w:t>
      </w:r>
      <w:r w:rsidR="003151AF">
        <w:rPr>
          <w:rStyle w:val="a"/>
          <w:rFonts w:ascii="Arial" w:hAnsi="Arial" w:cs="Arial"/>
          <w:sz w:val="22"/>
          <w:szCs w:val="22"/>
        </w:rPr>
        <w:t xml:space="preserve"> and</w:t>
      </w:r>
      <w:r w:rsidR="00933D23" w:rsidRPr="003560BD">
        <w:rPr>
          <w:rStyle w:val="a"/>
          <w:rFonts w:ascii="Arial" w:hAnsi="Arial" w:cs="Arial"/>
          <w:sz w:val="22"/>
          <w:szCs w:val="22"/>
        </w:rPr>
        <w:t xml:space="preserve"> </w:t>
      </w:r>
      <w:r w:rsidRPr="003560BD">
        <w:rPr>
          <w:rStyle w:val="a"/>
          <w:rFonts w:ascii="Arial" w:hAnsi="Arial" w:cs="Arial"/>
          <w:sz w:val="22"/>
          <w:szCs w:val="22"/>
        </w:rPr>
        <w:t>timely delivery</w:t>
      </w:r>
      <w:r w:rsidR="003151AF">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14:paraId="7F01A6E7"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lastRenderedPageBreak/>
        <w:t>Stage 2 – Non-cost Evaluation (all requirements excluding cost)</w:t>
      </w:r>
    </w:p>
    <w:p w14:paraId="7D6CF568"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1913"/>
      </w:tblGrid>
      <w:tr w:rsidR="00805A60" w:rsidRPr="003560BD" w14:paraId="7A93331B" w14:textId="77777777" w:rsidTr="00EE78DC">
        <w:tc>
          <w:tcPr>
            <w:tcW w:w="4297" w:type="dxa"/>
            <w:shd w:val="clear" w:color="auto" w:fill="FFFFFF"/>
          </w:tcPr>
          <w:p w14:paraId="580FA2F9"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1913" w:type="dxa"/>
            <w:shd w:val="clear" w:color="auto" w:fill="FFFFFF"/>
          </w:tcPr>
          <w:p w14:paraId="6AEBFE99"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3151AF" w:rsidRPr="003560BD" w14:paraId="150E286E" w14:textId="77777777" w:rsidTr="00EE78DC">
        <w:tc>
          <w:tcPr>
            <w:tcW w:w="4297" w:type="dxa"/>
          </w:tcPr>
          <w:p w14:paraId="7C1C9900" w14:textId="77777777" w:rsidR="003151AF" w:rsidRPr="003560BD" w:rsidRDefault="003151AF" w:rsidP="003151AF">
            <w:pPr>
              <w:jc w:val="both"/>
              <w:rPr>
                <w:rFonts w:ascii="Arial" w:hAnsi="Arial" w:cs="Arial"/>
                <w:sz w:val="22"/>
                <w:szCs w:val="22"/>
                <w:highlight w:val="yellow"/>
              </w:rPr>
            </w:pPr>
            <w:r>
              <w:rPr>
                <w:rFonts w:ascii="Arial" w:hAnsi="Arial" w:cs="Arial"/>
                <w:sz w:val="22"/>
                <w:szCs w:val="22"/>
              </w:rPr>
              <w:t>Vendor Experience, Project Management, Reference</w:t>
            </w:r>
            <w:r w:rsidR="00062BF8">
              <w:rPr>
                <w:rFonts w:ascii="Arial" w:hAnsi="Arial" w:cs="Arial"/>
                <w:sz w:val="22"/>
                <w:szCs w:val="22"/>
              </w:rPr>
              <w:t>s</w:t>
            </w:r>
          </w:p>
        </w:tc>
        <w:tc>
          <w:tcPr>
            <w:tcW w:w="1913" w:type="dxa"/>
            <w:vAlign w:val="center"/>
          </w:tcPr>
          <w:p w14:paraId="7026A17D" w14:textId="77777777" w:rsidR="003151AF" w:rsidRPr="003560BD" w:rsidRDefault="003151AF" w:rsidP="00883216">
            <w:pPr>
              <w:jc w:val="right"/>
              <w:rPr>
                <w:rFonts w:ascii="Arial" w:hAnsi="Arial" w:cs="Arial"/>
                <w:sz w:val="22"/>
                <w:szCs w:val="22"/>
              </w:rPr>
            </w:pPr>
            <w:r>
              <w:rPr>
                <w:rFonts w:ascii="Arial" w:hAnsi="Arial" w:cs="Arial"/>
                <w:sz w:val="22"/>
                <w:szCs w:val="22"/>
              </w:rPr>
              <w:t>15</w:t>
            </w:r>
          </w:p>
        </w:tc>
      </w:tr>
      <w:tr w:rsidR="003151AF" w:rsidRPr="003560BD" w14:paraId="06F8BCC3" w14:textId="77777777" w:rsidTr="00EE78DC">
        <w:tc>
          <w:tcPr>
            <w:tcW w:w="4297" w:type="dxa"/>
          </w:tcPr>
          <w:p w14:paraId="5B31CCB7" w14:textId="77777777" w:rsidR="003151AF" w:rsidRPr="003560BD" w:rsidRDefault="003151AF" w:rsidP="003151AF">
            <w:pPr>
              <w:jc w:val="both"/>
              <w:rPr>
                <w:rFonts w:ascii="Arial" w:hAnsi="Arial" w:cs="Arial"/>
                <w:sz w:val="22"/>
                <w:szCs w:val="22"/>
                <w:highlight w:val="yellow"/>
              </w:rPr>
            </w:pPr>
            <w:r>
              <w:rPr>
                <w:rFonts w:ascii="Arial" w:hAnsi="Arial" w:cs="Arial"/>
                <w:sz w:val="22"/>
                <w:szCs w:val="22"/>
              </w:rPr>
              <w:t>Functional Requirements and Hosting</w:t>
            </w:r>
          </w:p>
        </w:tc>
        <w:tc>
          <w:tcPr>
            <w:tcW w:w="1913" w:type="dxa"/>
            <w:vAlign w:val="center"/>
          </w:tcPr>
          <w:p w14:paraId="208770A2" w14:textId="77777777" w:rsidR="003151AF" w:rsidRPr="003560BD" w:rsidRDefault="003151AF" w:rsidP="00883216">
            <w:pPr>
              <w:jc w:val="right"/>
              <w:rPr>
                <w:rFonts w:ascii="Arial" w:hAnsi="Arial" w:cs="Arial"/>
                <w:sz w:val="22"/>
                <w:szCs w:val="22"/>
              </w:rPr>
            </w:pPr>
            <w:r>
              <w:rPr>
                <w:rFonts w:ascii="Arial" w:hAnsi="Arial" w:cs="Arial"/>
                <w:sz w:val="22"/>
                <w:szCs w:val="22"/>
              </w:rPr>
              <w:t>25</w:t>
            </w:r>
          </w:p>
        </w:tc>
      </w:tr>
      <w:tr w:rsidR="003151AF" w:rsidRPr="003560BD" w14:paraId="3CAB411F" w14:textId="77777777" w:rsidTr="00EE78DC">
        <w:tc>
          <w:tcPr>
            <w:tcW w:w="4297" w:type="dxa"/>
          </w:tcPr>
          <w:p w14:paraId="0F6E4A60" w14:textId="77777777" w:rsidR="003151AF" w:rsidRPr="003560BD" w:rsidRDefault="003151AF" w:rsidP="003151AF">
            <w:pPr>
              <w:jc w:val="both"/>
              <w:rPr>
                <w:rFonts w:ascii="Arial" w:hAnsi="Arial" w:cs="Arial"/>
                <w:sz w:val="22"/>
                <w:szCs w:val="22"/>
                <w:highlight w:val="yellow"/>
              </w:rPr>
            </w:pPr>
            <w:r>
              <w:rPr>
                <w:rFonts w:ascii="Arial" w:hAnsi="Arial" w:cs="Arial"/>
                <w:sz w:val="22"/>
                <w:szCs w:val="22"/>
              </w:rPr>
              <w:t>Installation and Data Conversion</w:t>
            </w:r>
          </w:p>
        </w:tc>
        <w:tc>
          <w:tcPr>
            <w:tcW w:w="1913" w:type="dxa"/>
            <w:vAlign w:val="center"/>
          </w:tcPr>
          <w:p w14:paraId="15280DEF" w14:textId="77777777" w:rsidR="003151AF" w:rsidRPr="003560BD" w:rsidRDefault="003151AF" w:rsidP="00883216">
            <w:pPr>
              <w:jc w:val="right"/>
              <w:rPr>
                <w:rFonts w:ascii="Arial" w:hAnsi="Arial" w:cs="Arial"/>
                <w:sz w:val="22"/>
                <w:szCs w:val="22"/>
              </w:rPr>
            </w:pPr>
            <w:r>
              <w:rPr>
                <w:rFonts w:ascii="Arial" w:hAnsi="Arial" w:cs="Arial"/>
                <w:sz w:val="22"/>
                <w:szCs w:val="22"/>
              </w:rPr>
              <w:t>10</w:t>
            </w:r>
          </w:p>
        </w:tc>
      </w:tr>
      <w:tr w:rsidR="003151AF" w:rsidRPr="003560BD" w14:paraId="18149073" w14:textId="77777777" w:rsidTr="00EE78DC">
        <w:tc>
          <w:tcPr>
            <w:tcW w:w="4297" w:type="dxa"/>
          </w:tcPr>
          <w:p w14:paraId="10EE1E0D" w14:textId="77777777" w:rsidR="000F5FAE" w:rsidRPr="000F5FAE" w:rsidRDefault="003151AF" w:rsidP="000F5FAE">
            <w:pPr>
              <w:jc w:val="both"/>
              <w:rPr>
                <w:rFonts w:ascii="Arial" w:hAnsi="Arial" w:cs="Arial"/>
                <w:sz w:val="22"/>
                <w:szCs w:val="22"/>
              </w:rPr>
            </w:pPr>
            <w:r>
              <w:rPr>
                <w:rFonts w:ascii="Arial" w:hAnsi="Arial" w:cs="Arial"/>
                <w:sz w:val="22"/>
                <w:szCs w:val="22"/>
              </w:rPr>
              <w:t>Support</w:t>
            </w:r>
            <w:r w:rsidR="000F5FAE">
              <w:rPr>
                <w:rFonts w:ascii="Arial" w:hAnsi="Arial" w:cs="Arial"/>
                <w:sz w:val="22"/>
                <w:szCs w:val="22"/>
              </w:rPr>
              <w:t>,</w:t>
            </w:r>
            <w:r>
              <w:rPr>
                <w:rFonts w:ascii="Arial" w:hAnsi="Arial" w:cs="Arial"/>
                <w:sz w:val="22"/>
                <w:szCs w:val="22"/>
              </w:rPr>
              <w:t xml:space="preserve"> Training</w:t>
            </w:r>
            <w:r w:rsidR="000F5FAE">
              <w:rPr>
                <w:rFonts w:ascii="Arial" w:hAnsi="Arial" w:cs="Arial"/>
                <w:sz w:val="22"/>
                <w:szCs w:val="22"/>
              </w:rPr>
              <w:t>, &amp; Cost</w:t>
            </w:r>
          </w:p>
        </w:tc>
        <w:tc>
          <w:tcPr>
            <w:tcW w:w="1913" w:type="dxa"/>
            <w:vAlign w:val="center"/>
          </w:tcPr>
          <w:p w14:paraId="1A039FC2" w14:textId="77777777" w:rsidR="003151AF" w:rsidRPr="003560BD" w:rsidRDefault="003151AF" w:rsidP="00883216">
            <w:pPr>
              <w:jc w:val="right"/>
              <w:rPr>
                <w:rFonts w:ascii="Arial" w:hAnsi="Arial" w:cs="Arial"/>
                <w:sz w:val="22"/>
                <w:szCs w:val="22"/>
              </w:rPr>
            </w:pPr>
            <w:r>
              <w:rPr>
                <w:rFonts w:ascii="Arial" w:hAnsi="Arial" w:cs="Arial"/>
                <w:sz w:val="22"/>
                <w:szCs w:val="22"/>
              </w:rPr>
              <w:t>5</w:t>
            </w:r>
          </w:p>
        </w:tc>
      </w:tr>
      <w:tr w:rsidR="003151AF" w:rsidRPr="003560BD" w14:paraId="747DDCA4" w14:textId="77777777" w:rsidTr="00EE78DC">
        <w:trPr>
          <w:trHeight w:val="230"/>
        </w:trPr>
        <w:tc>
          <w:tcPr>
            <w:tcW w:w="4297" w:type="dxa"/>
          </w:tcPr>
          <w:p w14:paraId="67F63D61" w14:textId="77777777" w:rsidR="003151AF" w:rsidRPr="003560BD" w:rsidRDefault="003151AF" w:rsidP="003151AF">
            <w:pPr>
              <w:jc w:val="both"/>
              <w:rPr>
                <w:rFonts w:ascii="Arial" w:hAnsi="Arial" w:cs="Arial"/>
                <w:sz w:val="22"/>
                <w:szCs w:val="22"/>
                <w:highlight w:val="yellow"/>
              </w:rPr>
            </w:pPr>
            <w:r w:rsidRPr="003560BD">
              <w:rPr>
                <w:rFonts w:ascii="Arial" w:hAnsi="Arial" w:cs="Arial"/>
                <w:b/>
                <w:sz w:val="22"/>
                <w:szCs w:val="22"/>
              </w:rPr>
              <w:t>Maximum Possible Points</w:t>
            </w:r>
          </w:p>
        </w:tc>
        <w:tc>
          <w:tcPr>
            <w:tcW w:w="1913" w:type="dxa"/>
          </w:tcPr>
          <w:p w14:paraId="6C9D9584" w14:textId="77777777" w:rsidR="003151AF" w:rsidRPr="003560BD" w:rsidRDefault="003151AF" w:rsidP="003151AF">
            <w:pPr>
              <w:jc w:val="right"/>
              <w:rPr>
                <w:rFonts w:ascii="Arial" w:hAnsi="Arial" w:cs="Arial"/>
                <w:sz w:val="22"/>
                <w:szCs w:val="22"/>
                <w:highlight w:val="cyan"/>
              </w:rPr>
            </w:pPr>
            <w:r w:rsidRPr="003560BD">
              <w:rPr>
                <w:rFonts w:ascii="Arial" w:hAnsi="Arial" w:cs="Arial"/>
                <w:b/>
                <w:sz w:val="22"/>
                <w:szCs w:val="22"/>
              </w:rPr>
              <w:t xml:space="preserve">55 </w:t>
            </w:r>
          </w:p>
        </w:tc>
      </w:tr>
    </w:tbl>
    <w:p w14:paraId="1B866ACE"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0EBC119E" w14:textId="77777777"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3151AF">
        <w:rPr>
          <w:rFonts w:ascii="Arial" w:hAnsi="Arial" w:cs="Arial"/>
          <w:sz w:val="22"/>
          <w:szCs w:val="22"/>
        </w:rPr>
        <w:t>Vendor Experience, Project Management, Reference</w:t>
      </w:r>
      <w:r w:rsidR="003151AF" w:rsidRPr="003560BD">
        <w:rPr>
          <w:rFonts w:ascii="Arial" w:hAnsi="Arial" w:cs="Arial"/>
          <w:sz w:val="22"/>
          <w:szCs w:val="22"/>
        </w:rPr>
        <w:t xml:space="preserve">’ </w:t>
      </w:r>
      <w:r w:rsidRPr="003560BD">
        <w:rPr>
          <w:rFonts w:ascii="Arial" w:hAnsi="Arial" w:cs="Arial"/>
          <w:sz w:val="22"/>
          <w:szCs w:val="22"/>
        </w:rPr>
        <w:t xml:space="preserve">category was allocated </w:t>
      </w:r>
      <w:r w:rsidR="003151AF">
        <w:rPr>
          <w:rFonts w:ascii="Arial" w:hAnsi="Arial" w:cs="Arial"/>
          <w:sz w:val="22"/>
          <w:szCs w:val="22"/>
        </w:rPr>
        <w:t>15</w:t>
      </w:r>
      <w:r w:rsidR="003151AF" w:rsidRPr="003560BD">
        <w:rPr>
          <w:rFonts w:ascii="Arial" w:hAnsi="Arial" w:cs="Arial"/>
          <w:sz w:val="22"/>
          <w:szCs w:val="22"/>
        </w:rPr>
        <w:t xml:space="preserve"> </w:t>
      </w:r>
      <w:r w:rsidRPr="003560BD">
        <w:rPr>
          <w:rFonts w:ascii="Arial" w:hAnsi="Arial" w:cs="Arial"/>
          <w:sz w:val="22"/>
          <w:szCs w:val="22"/>
        </w:rPr>
        <w:t xml:space="preserve">points; a proposal that fully met all requirements in that section would have scored </w:t>
      </w:r>
      <w:r w:rsidR="00CA3013">
        <w:rPr>
          <w:rFonts w:ascii="Arial" w:hAnsi="Arial" w:cs="Arial"/>
          <w:sz w:val="22"/>
          <w:szCs w:val="22"/>
        </w:rPr>
        <w:t>13.5</w:t>
      </w:r>
      <w:r w:rsidR="00CA3013" w:rsidRPr="003560BD">
        <w:rPr>
          <w:rFonts w:ascii="Arial" w:hAnsi="Arial" w:cs="Arial"/>
          <w:sz w:val="22"/>
          <w:szCs w:val="22"/>
        </w:rPr>
        <w:t xml:space="preserve"> </w:t>
      </w:r>
      <w:r w:rsidRPr="003560BD">
        <w:rPr>
          <w:rFonts w:ascii="Arial" w:hAnsi="Arial" w:cs="Arial"/>
          <w:sz w:val="22"/>
          <w:szCs w:val="22"/>
        </w:rPr>
        <w:t>points.  The additional 10% is used for a proposal that exceeds the requirement for an item in a way that provides additional benefits to the state.</w:t>
      </w:r>
    </w:p>
    <w:p w14:paraId="5FFC9763" w14:textId="77777777" w:rsidR="00BF6B07" w:rsidRPr="003560BD" w:rsidRDefault="00F975A2" w:rsidP="00635AD0">
      <w:pPr>
        <w:pStyle w:val="Level2"/>
      </w:pPr>
      <w:r w:rsidRPr="003560BD">
        <w:t>Stage 3 – Cost Evaluation</w:t>
      </w:r>
    </w:p>
    <w:p w14:paraId="7848AB9F" w14:textId="77777777"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14:paraId="16ECD9DE" w14:textId="77777777"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14:paraId="176ECABB" w14:textId="77777777"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14:paraId="10641A70"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14:paraId="6B56FE7F"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14:paraId="036E36BE"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14:paraId="3636BA04" w14:textId="77777777" w:rsidR="00F975A2" w:rsidRPr="003560BD" w:rsidRDefault="00F975A2" w:rsidP="00477EF3">
      <w:pPr>
        <w:pStyle w:val="Level3"/>
        <w:spacing w:after="240"/>
        <w:jc w:val="both"/>
        <w:rPr>
          <w:rFonts w:ascii="Arial" w:hAnsi="Arial" w:cs="Arial"/>
          <w:sz w:val="22"/>
          <w:szCs w:val="22"/>
        </w:rPr>
      </w:pPr>
      <w:r w:rsidRPr="003560BD">
        <w:rPr>
          <w:rFonts w:ascii="Arial" w:hAnsi="Arial" w:cs="Arial"/>
          <w:sz w:val="22"/>
          <w:szCs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455E4391" w14:textId="77777777" w:rsidTr="008844D3">
        <w:tc>
          <w:tcPr>
            <w:tcW w:w="3510" w:type="dxa"/>
            <w:shd w:val="clear" w:color="auto" w:fill="FFFFFF"/>
          </w:tcPr>
          <w:p w14:paraId="6C8AFE9F"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2B570B6E"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6DABFCF7" w14:textId="77777777" w:rsidTr="008844D3">
        <w:trPr>
          <w:trHeight w:val="230"/>
        </w:trPr>
        <w:tc>
          <w:tcPr>
            <w:tcW w:w="3510" w:type="dxa"/>
          </w:tcPr>
          <w:p w14:paraId="4C52EBE4"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243057FB" w14:textId="77777777" w:rsidR="00F975A2" w:rsidRPr="003560BD" w:rsidRDefault="00F975A2" w:rsidP="00DD6EC1">
            <w:pPr>
              <w:jc w:val="right"/>
              <w:rPr>
                <w:rFonts w:ascii="Arial" w:hAnsi="Arial" w:cs="Arial"/>
                <w:sz w:val="22"/>
                <w:szCs w:val="22"/>
              </w:rPr>
            </w:pPr>
            <w:r w:rsidRPr="003560BD">
              <w:rPr>
                <w:rFonts w:ascii="Arial" w:hAnsi="Arial" w:cs="Arial"/>
                <w:sz w:val="22"/>
                <w:szCs w:val="22"/>
              </w:rPr>
              <w:t xml:space="preserve">45 </w:t>
            </w:r>
          </w:p>
        </w:tc>
      </w:tr>
      <w:tr w:rsidR="00F975A2" w:rsidRPr="003560BD" w14:paraId="6CCF1CAF" w14:textId="77777777" w:rsidTr="008844D3">
        <w:tc>
          <w:tcPr>
            <w:tcW w:w="3510" w:type="dxa"/>
          </w:tcPr>
          <w:p w14:paraId="7A148630"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006CE663" w14:textId="77777777" w:rsidR="00F975A2" w:rsidRPr="003560BD" w:rsidRDefault="00F975A2" w:rsidP="00DD6EC1">
            <w:pPr>
              <w:jc w:val="right"/>
              <w:rPr>
                <w:rFonts w:ascii="Arial" w:hAnsi="Arial" w:cs="Arial"/>
                <w:sz w:val="22"/>
                <w:szCs w:val="22"/>
              </w:rPr>
            </w:pPr>
            <w:r w:rsidRPr="003560BD">
              <w:rPr>
                <w:rFonts w:ascii="Arial" w:hAnsi="Arial" w:cs="Arial"/>
                <w:b/>
                <w:sz w:val="22"/>
                <w:szCs w:val="22"/>
              </w:rPr>
              <w:t xml:space="preserve">45 </w:t>
            </w:r>
          </w:p>
        </w:tc>
      </w:tr>
    </w:tbl>
    <w:p w14:paraId="608C52AB" w14:textId="77777777" w:rsidR="00F975A2" w:rsidRPr="00883216" w:rsidRDefault="00F975A2" w:rsidP="00635AD0">
      <w:pPr>
        <w:pStyle w:val="Level2"/>
      </w:pPr>
      <w:r w:rsidRPr="00883216">
        <w:t>Stage 4 – Selection of the successful Vendor</w:t>
      </w:r>
    </w:p>
    <w:p w14:paraId="024C617C"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lastRenderedPageBreak/>
        <w:t>On-site Demonstrations and Interviews</w:t>
      </w:r>
    </w:p>
    <w:p w14:paraId="47449316"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2CCB7FF3"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15F8464D"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14:paraId="70ADB436" w14:textId="77777777" w:rsidR="006272FB" w:rsidRPr="003560BD" w:rsidRDefault="006272FB" w:rsidP="008E3DEF">
      <w:pPr>
        <w:pStyle w:val="Level4"/>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14:paraId="52E77D51"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15BF7674"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6D2FF470" w14:textId="77777777" w:rsidR="0014443C" w:rsidRPr="003560BD" w:rsidRDefault="008E3DEF" w:rsidP="00635AD0">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63C164A5" w14:textId="77777777" w:rsidR="0014443C" w:rsidRPr="003560BD" w:rsidRDefault="0014443C" w:rsidP="0014443C">
      <w:pPr>
        <w:pStyle w:val="Level1"/>
        <w:numPr>
          <w:ilvl w:val="0"/>
          <w:numId w:val="0"/>
        </w:numPr>
        <w:ind w:left="720" w:hanging="720"/>
        <w:rPr>
          <w:rFonts w:ascii="Arial" w:hAnsi="Arial" w:cs="Arial"/>
          <w:sz w:val="22"/>
          <w:szCs w:val="22"/>
        </w:rPr>
      </w:pPr>
    </w:p>
    <w:p w14:paraId="0D3F06CE"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45F4BFCA"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483995374"/>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14:paraId="596E6FA3" w14:textId="77777777" w:rsidR="00BF6B07" w:rsidRPr="003560BD" w:rsidRDefault="00BF6B07" w:rsidP="00BF6B07">
      <w:pPr>
        <w:pStyle w:val="Heading2"/>
        <w:rPr>
          <w:rFonts w:ascii="Arial" w:hAnsi="Arial" w:cs="Arial"/>
          <w:sz w:val="22"/>
          <w:szCs w:val="22"/>
        </w:rPr>
      </w:pPr>
      <w:bookmarkStart w:id="134" w:name="_Toc483995375"/>
      <w:r w:rsidRPr="003560BD">
        <w:rPr>
          <w:rFonts w:ascii="Arial" w:hAnsi="Arial" w:cs="Arial"/>
          <w:sz w:val="22"/>
          <w:szCs w:val="22"/>
        </w:rPr>
        <w:t>COST INFORMATION SUBMISSION</w:t>
      </w:r>
      <w:bookmarkEnd w:id="134"/>
    </w:p>
    <w:p w14:paraId="7CBDB673" w14:textId="77777777" w:rsidR="00BF6B07" w:rsidRPr="003560BD" w:rsidRDefault="00BF6B07">
      <w:pPr>
        <w:rPr>
          <w:rFonts w:ascii="Arial" w:hAnsi="Arial" w:cs="Arial"/>
          <w:sz w:val="22"/>
          <w:szCs w:val="22"/>
        </w:rPr>
      </w:pPr>
    </w:p>
    <w:p w14:paraId="150D4BBF" w14:textId="77777777" w:rsidR="00BF6B07"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3A1F9C81" w14:textId="77777777" w:rsidR="003B74C1" w:rsidRDefault="003B74C1" w:rsidP="00306430">
      <w:pPr>
        <w:jc w:val="both"/>
        <w:rPr>
          <w:rFonts w:ascii="Arial" w:hAnsi="Arial" w:cs="Arial"/>
          <w:sz w:val="22"/>
          <w:szCs w:val="22"/>
        </w:rPr>
      </w:pPr>
    </w:p>
    <w:p w14:paraId="69C3CA97" w14:textId="56F3E503" w:rsidR="00825F53" w:rsidRPr="00DB714E" w:rsidRDefault="00573A76" w:rsidP="00DB714E">
      <w:pPr>
        <w:spacing w:after="240"/>
        <w:ind w:left="1800" w:hanging="1080"/>
        <w:rPr>
          <w:rFonts w:ascii="Arial" w:hAnsi="Arial" w:cs="Arial"/>
          <w:b/>
          <w:sz w:val="22"/>
        </w:rPr>
      </w:pPr>
      <w:r w:rsidRPr="00DB714E">
        <w:rPr>
          <w:rFonts w:ascii="Arial" w:hAnsi="Arial" w:cs="Arial"/>
          <w:b/>
          <w:sz w:val="22"/>
        </w:rPr>
        <w:t>1.1</w:t>
      </w:r>
      <w:r w:rsidRPr="00DB714E">
        <w:rPr>
          <w:rFonts w:ascii="Arial" w:hAnsi="Arial" w:cs="Arial"/>
          <w:b/>
          <w:sz w:val="22"/>
        </w:rPr>
        <w:tab/>
        <w:t xml:space="preserve">Vendor </w:t>
      </w:r>
      <w:r w:rsidR="00DB714E" w:rsidRPr="00DB714E">
        <w:rPr>
          <w:rFonts w:ascii="Arial" w:hAnsi="Arial" w:cs="Arial"/>
          <w:b/>
          <w:sz w:val="22"/>
        </w:rPr>
        <w:t>cost submission using MSI Payment Processor as stated in Section VII, Item 7.9.</w:t>
      </w:r>
    </w:p>
    <w:tbl>
      <w:tblPr>
        <w:tblStyle w:val="TableGrid"/>
        <w:tblW w:w="0" w:type="auto"/>
        <w:jc w:val="center"/>
        <w:tblLook w:val="04A0" w:firstRow="1" w:lastRow="0" w:firstColumn="1" w:lastColumn="0" w:noHBand="0" w:noVBand="1"/>
      </w:tblPr>
      <w:tblGrid>
        <w:gridCol w:w="5485"/>
        <w:gridCol w:w="1800"/>
        <w:gridCol w:w="1990"/>
      </w:tblGrid>
      <w:tr w:rsidR="00825F53" w14:paraId="45A36751" w14:textId="77777777" w:rsidTr="00DB714E">
        <w:trPr>
          <w:trHeight w:val="432"/>
          <w:jc w:val="center"/>
        </w:trPr>
        <w:tc>
          <w:tcPr>
            <w:tcW w:w="5485" w:type="dxa"/>
            <w:shd w:val="clear" w:color="auto" w:fill="DEEAF6" w:themeFill="accent1" w:themeFillTint="33"/>
          </w:tcPr>
          <w:p w14:paraId="173FF8DF" w14:textId="77777777" w:rsidR="00825F53" w:rsidRPr="00825F53" w:rsidRDefault="00825F53" w:rsidP="00825F53">
            <w:pPr>
              <w:rPr>
                <w:rFonts w:ascii="Arial" w:hAnsi="Arial" w:cs="Arial"/>
                <w:b/>
                <w:sz w:val="22"/>
                <w:szCs w:val="22"/>
              </w:rPr>
            </w:pPr>
            <w:r w:rsidRPr="00825F53">
              <w:rPr>
                <w:rFonts w:ascii="Arial" w:hAnsi="Arial" w:cs="Arial"/>
                <w:b/>
                <w:sz w:val="22"/>
                <w:szCs w:val="22"/>
              </w:rPr>
              <w:t>Description</w:t>
            </w:r>
          </w:p>
        </w:tc>
        <w:tc>
          <w:tcPr>
            <w:tcW w:w="1800" w:type="dxa"/>
            <w:shd w:val="clear" w:color="auto" w:fill="DEEAF6" w:themeFill="accent1" w:themeFillTint="33"/>
          </w:tcPr>
          <w:p w14:paraId="0C3B39B6" w14:textId="77777777" w:rsidR="00825F53" w:rsidRPr="00825F53" w:rsidRDefault="00825F53" w:rsidP="00825F53">
            <w:pPr>
              <w:rPr>
                <w:rFonts w:ascii="Arial" w:hAnsi="Arial" w:cs="Arial"/>
                <w:b/>
                <w:sz w:val="22"/>
                <w:szCs w:val="22"/>
              </w:rPr>
            </w:pPr>
            <w:r w:rsidRPr="00825F53">
              <w:rPr>
                <w:rFonts w:ascii="Arial" w:hAnsi="Arial" w:cs="Arial"/>
                <w:b/>
                <w:sz w:val="22"/>
                <w:szCs w:val="22"/>
              </w:rPr>
              <w:t>Unit Cost</w:t>
            </w:r>
          </w:p>
        </w:tc>
        <w:tc>
          <w:tcPr>
            <w:tcW w:w="1990" w:type="dxa"/>
            <w:shd w:val="clear" w:color="auto" w:fill="DEEAF6" w:themeFill="accent1" w:themeFillTint="33"/>
          </w:tcPr>
          <w:p w14:paraId="5721C585" w14:textId="77777777" w:rsidR="00825F53" w:rsidRPr="00825F53" w:rsidRDefault="00825F53" w:rsidP="00825F53">
            <w:pPr>
              <w:rPr>
                <w:rFonts w:ascii="Arial" w:hAnsi="Arial" w:cs="Arial"/>
                <w:b/>
                <w:sz w:val="22"/>
                <w:szCs w:val="22"/>
              </w:rPr>
            </w:pPr>
            <w:r w:rsidRPr="00825F53">
              <w:rPr>
                <w:rFonts w:ascii="Arial" w:hAnsi="Arial" w:cs="Arial"/>
                <w:b/>
                <w:sz w:val="22"/>
                <w:szCs w:val="22"/>
              </w:rPr>
              <w:t>Extended Cost</w:t>
            </w:r>
          </w:p>
        </w:tc>
      </w:tr>
      <w:tr w:rsidR="00825F53" w14:paraId="114E3119" w14:textId="77777777" w:rsidTr="00DB714E">
        <w:trPr>
          <w:trHeight w:val="432"/>
          <w:jc w:val="center"/>
        </w:trPr>
        <w:tc>
          <w:tcPr>
            <w:tcW w:w="5485" w:type="dxa"/>
          </w:tcPr>
          <w:p w14:paraId="28BF6CC3" w14:textId="77777777" w:rsidR="00825F53" w:rsidRDefault="00825F53" w:rsidP="00883216">
            <w:pPr>
              <w:jc w:val="both"/>
              <w:rPr>
                <w:rFonts w:ascii="Arial" w:hAnsi="Arial" w:cs="Arial"/>
                <w:sz w:val="22"/>
                <w:szCs w:val="22"/>
              </w:rPr>
            </w:pPr>
            <w:r>
              <w:rPr>
                <w:rFonts w:ascii="Arial" w:hAnsi="Arial" w:cs="Arial"/>
                <w:sz w:val="22"/>
                <w:szCs w:val="22"/>
              </w:rPr>
              <w:t>Implementation Costs (fully loaded with travel, subsistence and associate</w:t>
            </w:r>
            <w:r w:rsidR="00257D2F">
              <w:rPr>
                <w:rFonts w:ascii="Arial" w:hAnsi="Arial" w:cs="Arial"/>
                <w:sz w:val="22"/>
                <w:szCs w:val="22"/>
              </w:rPr>
              <w:t>d</w:t>
            </w:r>
            <w:r>
              <w:rPr>
                <w:rFonts w:ascii="Arial" w:hAnsi="Arial" w:cs="Arial"/>
                <w:sz w:val="22"/>
                <w:szCs w:val="22"/>
              </w:rPr>
              <w:t xml:space="preserve"> per diem costs)</w:t>
            </w:r>
          </w:p>
        </w:tc>
        <w:tc>
          <w:tcPr>
            <w:tcW w:w="1800" w:type="dxa"/>
            <w:vAlign w:val="center"/>
          </w:tcPr>
          <w:p w14:paraId="52BC429D" w14:textId="77777777" w:rsidR="00825F53" w:rsidRDefault="00825F53" w:rsidP="00B64B16">
            <w:pPr>
              <w:rPr>
                <w:rFonts w:ascii="Arial" w:hAnsi="Arial" w:cs="Arial"/>
                <w:sz w:val="22"/>
                <w:szCs w:val="22"/>
              </w:rPr>
            </w:pPr>
            <w:r>
              <w:rPr>
                <w:rFonts w:ascii="Arial" w:hAnsi="Arial" w:cs="Arial"/>
                <w:sz w:val="22"/>
                <w:szCs w:val="22"/>
              </w:rPr>
              <w:t>$</w:t>
            </w:r>
          </w:p>
        </w:tc>
        <w:tc>
          <w:tcPr>
            <w:tcW w:w="1990" w:type="dxa"/>
            <w:vAlign w:val="center"/>
          </w:tcPr>
          <w:p w14:paraId="1B546FB5" w14:textId="77777777" w:rsidR="00825F53" w:rsidRDefault="00825F53" w:rsidP="00B64B16">
            <w:pPr>
              <w:rPr>
                <w:rFonts w:ascii="Arial" w:hAnsi="Arial" w:cs="Arial"/>
                <w:sz w:val="22"/>
                <w:szCs w:val="22"/>
              </w:rPr>
            </w:pPr>
            <w:r>
              <w:rPr>
                <w:rFonts w:ascii="Arial" w:hAnsi="Arial" w:cs="Arial"/>
                <w:sz w:val="22"/>
                <w:szCs w:val="22"/>
              </w:rPr>
              <w:t>$</w:t>
            </w:r>
          </w:p>
        </w:tc>
      </w:tr>
      <w:tr w:rsidR="00825F53" w14:paraId="6082FE1C" w14:textId="77777777" w:rsidTr="00DB714E">
        <w:trPr>
          <w:trHeight w:val="432"/>
          <w:jc w:val="center"/>
        </w:trPr>
        <w:tc>
          <w:tcPr>
            <w:tcW w:w="5485" w:type="dxa"/>
          </w:tcPr>
          <w:p w14:paraId="7FBE445A" w14:textId="77777777" w:rsidR="00825F53" w:rsidRDefault="00825F53" w:rsidP="00477EF3">
            <w:pPr>
              <w:jc w:val="both"/>
              <w:rPr>
                <w:rFonts w:ascii="Arial" w:hAnsi="Arial" w:cs="Arial"/>
                <w:sz w:val="22"/>
                <w:szCs w:val="22"/>
              </w:rPr>
            </w:pPr>
            <w:r>
              <w:rPr>
                <w:rFonts w:ascii="Arial" w:hAnsi="Arial" w:cs="Arial"/>
                <w:sz w:val="22"/>
                <w:szCs w:val="22"/>
              </w:rPr>
              <w:t xml:space="preserve">Conversion Fees </w:t>
            </w:r>
          </w:p>
        </w:tc>
        <w:tc>
          <w:tcPr>
            <w:tcW w:w="1800" w:type="dxa"/>
            <w:vAlign w:val="center"/>
          </w:tcPr>
          <w:p w14:paraId="41511A58" w14:textId="77777777" w:rsidR="00825F53" w:rsidRDefault="00825F53" w:rsidP="00B64B16">
            <w:pPr>
              <w:rPr>
                <w:rFonts w:ascii="Arial" w:hAnsi="Arial" w:cs="Arial"/>
                <w:sz w:val="22"/>
                <w:szCs w:val="22"/>
              </w:rPr>
            </w:pPr>
            <w:r>
              <w:rPr>
                <w:rFonts w:ascii="Arial" w:hAnsi="Arial" w:cs="Arial"/>
                <w:sz w:val="22"/>
                <w:szCs w:val="22"/>
              </w:rPr>
              <w:t>$</w:t>
            </w:r>
          </w:p>
        </w:tc>
        <w:tc>
          <w:tcPr>
            <w:tcW w:w="1990" w:type="dxa"/>
            <w:vAlign w:val="center"/>
          </w:tcPr>
          <w:p w14:paraId="5F6C804D" w14:textId="77777777" w:rsidR="00825F53" w:rsidRDefault="00825F53" w:rsidP="00B64B16">
            <w:pPr>
              <w:rPr>
                <w:rFonts w:ascii="Arial" w:hAnsi="Arial" w:cs="Arial"/>
                <w:sz w:val="22"/>
                <w:szCs w:val="22"/>
              </w:rPr>
            </w:pPr>
            <w:r>
              <w:rPr>
                <w:rFonts w:ascii="Arial" w:hAnsi="Arial" w:cs="Arial"/>
                <w:sz w:val="22"/>
                <w:szCs w:val="22"/>
              </w:rPr>
              <w:t>$</w:t>
            </w:r>
          </w:p>
        </w:tc>
      </w:tr>
      <w:tr w:rsidR="00825F53" w14:paraId="0D60461B" w14:textId="77777777" w:rsidTr="00DB714E">
        <w:trPr>
          <w:trHeight w:val="432"/>
          <w:jc w:val="center"/>
        </w:trPr>
        <w:tc>
          <w:tcPr>
            <w:tcW w:w="5485" w:type="dxa"/>
          </w:tcPr>
          <w:p w14:paraId="1C5B66D8" w14:textId="77777777" w:rsidR="00825F53" w:rsidRDefault="00825F53" w:rsidP="00306430">
            <w:pPr>
              <w:jc w:val="both"/>
              <w:rPr>
                <w:rFonts w:ascii="Arial" w:hAnsi="Arial" w:cs="Arial"/>
                <w:sz w:val="22"/>
                <w:szCs w:val="22"/>
              </w:rPr>
            </w:pPr>
            <w:r>
              <w:rPr>
                <w:rFonts w:ascii="Arial" w:hAnsi="Arial" w:cs="Arial"/>
                <w:sz w:val="22"/>
                <w:szCs w:val="22"/>
              </w:rPr>
              <w:t>Training (4 users; 2 administrators)</w:t>
            </w:r>
          </w:p>
        </w:tc>
        <w:tc>
          <w:tcPr>
            <w:tcW w:w="1800" w:type="dxa"/>
            <w:vAlign w:val="center"/>
          </w:tcPr>
          <w:p w14:paraId="79852ACE" w14:textId="77777777" w:rsidR="00825F53" w:rsidRDefault="00825F53" w:rsidP="00B64B16">
            <w:pPr>
              <w:rPr>
                <w:rFonts w:ascii="Arial" w:hAnsi="Arial" w:cs="Arial"/>
                <w:sz w:val="22"/>
                <w:szCs w:val="22"/>
              </w:rPr>
            </w:pPr>
            <w:r>
              <w:rPr>
                <w:rFonts w:ascii="Arial" w:hAnsi="Arial" w:cs="Arial"/>
                <w:sz w:val="22"/>
                <w:szCs w:val="22"/>
              </w:rPr>
              <w:t>$</w:t>
            </w:r>
          </w:p>
        </w:tc>
        <w:tc>
          <w:tcPr>
            <w:tcW w:w="1990" w:type="dxa"/>
            <w:vAlign w:val="center"/>
          </w:tcPr>
          <w:p w14:paraId="04C825D6" w14:textId="77777777" w:rsidR="00825F53" w:rsidRDefault="00825F53" w:rsidP="00B64B16">
            <w:pPr>
              <w:rPr>
                <w:rFonts w:ascii="Arial" w:hAnsi="Arial" w:cs="Arial"/>
                <w:sz w:val="22"/>
                <w:szCs w:val="22"/>
              </w:rPr>
            </w:pPr>
            <w:r>
              <w:rPr>
                <w:rFonts w:ascii="Arial" w:hAnsi="Arial" w:cs="Arial"/>
                <w:sz w:val="22"/>
                <w:szCs w:val="22"/>
              </w:rPr>
              <w:t>$</w:t>
            </w:r>
          </w:p>
        </w:tc>
      </w:tr>
      <w:tr w:rsidR="00825F53" w14:paraId="61E374A4" w14:textId="77777777" w:rsidTr="00DB714E">
        <w:trPr>
          <w:trHeight w:val="432"/>
          <w:jc w:val="center"/>
        </w:trPr>
        <w:tc>
          <w:tcPr>
            <w:tcW w:w="5485" w:type="dxa"/>
          </w:tcPr>
          <w:p w14:paraId="416E3899" w14:textId="77777777" w:rsidR="00825F53" w:rsidRDefault="00825F53" w:rsidP="00306430">
            <w:pPr>
              <w:jc w:val="both"/>
              <w:rPr>
                <w:rFonts w:ascii="Arial" w:hAnsi="Arial" w:cs="Arial"/>
                <w:sz w:val="22"/>
                <w:szCs w:val="22"/>
              </w:rPr>
            </w:pPr>
            <w:r>
              <w:rPr>
                <w:rFonts w:ascii="Arial" w:hAnsi="Arial" w:cs="Arial"/>
                <w:sz w:val="22"/>
                <w:szCs w:val="22"/>
              </w:rPr>
              <w:t>Others Costs (specify)</w:t>
            </w:r>
          </w:p>
        </w:tc>
        <w:tc>
          <w:tcPr>
            <w:tcW w:w="1800" w:type="dxa"/>
            <w:vAlign w:val="center"/>
          </w:tcPr>
          <w:p w14:paraId="3C7E27AA" w14:textId="77777777" w:rsidR="00825F53" w:rsidRDefault="00825F53" w:rsidP="00B64B16">
            <w:pPr>
              <w:rPr>
                <w:rFonts w:ascii="Arial" w:hAnsi="Arial" w:cs="Arial"/>
                <w:sz w:val="22"/>
                <w:szCs w:val="22"/>
              </w:rPr>
            </w:pPr>
            <w:r>
              <w:rPr>
                <w:rFonts w:ascii="Arial" w:hAnsi="Arial" w:cs="Arial"/>
                <w:sz w:val="22"/>
                <w:szCs w:val="22"/>
              </w:rPr>
              <w:t>$</w:t>
            </w:r>
          </w:p>
        </w:tc>
        <w:tc>
          <w:tcPr>
            <w:tcW w:w="1990" w:type="dxa"/>
            <w:vAlign w:val="center"/>
          </w:tcPr>
          <w:p w14:paraId="4EC475AE" w14:textId="77777777" w:rsidR="00825F53" w:rsidRDefault="00825F53" w:rsidP="00B64B16">
            <w:pPr>
              <w:rPr>
                <w:rFonts w:ascii="Arial" w:hAnsi="Arial" w:cs="Arial"/>
                <w:sz w:val="22"/>
                <w:szCs w:val="22"/>
              </w:rPr>
            </w:pPr>
            <w:r>
              <w:rPr>
                <w:rFonts w:ascii="Arial" w:hAnsi="Arial" w:cs="Arial"/>
                <w:sz w:val="22"/>
                <w:szCs w:val="22"/>
              </w:rPr>
              <w:t>$</w:t>
            </w:r>
          </w:p>
        </w:tc>
      </w:tr>
      <w:tr w:rsidR="00807A25" w14:paraId="53B54AA7" w14:textId="77777777" w:rsidTr="00DB714E">
        <w:trPr>
          <w:trHeight w:val="432"/>
          <w:jc w:val="center"/>
        </w:trPr>
        <w:tc>
          <w:tcPr>
            <w:tcW w:w="5485" w:type="dxa"/>
          </w:tcPr>
          <w:p w14:paraId="6DFEAF03" w14:textId="77777777" w:rsidR="00807A25" w:rsidRDefault="00257D2F" w:rsidP="00306430">
            <w:pPr>
              <w:jc w:val="both"/>
              <w:rPr>
                <w:rFonts w:ascii="Arial" w:hAnsi="Arial" w:cs="Arial"/>
                <w:sz w:val="22"/>
                <w:szCs w:val="22"/>
              </w:rPr>
            </w:pPr>
            <w:r>
              <w:rPr>
                <w:rFonts w:ascii="Arial" w:hAnsi="Arial" w:cs="Arial"/>
                <w:sz w:val="22"/>
                <w:szCs w:val="22"/>
              </w:rPr>
              <w:t>Performance Bond</w:t>
            </w:r>
          </w:p>
        </w:tc>
        <w:tc>
          <w:tcPr>
            <w:tcW w:w="1800" w:type="dxa"/>
            <w:shd w:val="clear" w:color="auto" w:fill="E7E6E6" w:themeFill="background2"/>
            <w:vAlign w:val="center"/>
          </w:tcPr>
          <w:p w14:paraId="5E8CF475" w14:textId="77777777" w:rsidR="00807A25" w:rsidRDefault="00807A25" w:rsidP="00B64B16">
            <w:pPr>
              <w:rPr>
                <w:rFonts w:ascii="Arial" w:hAnsi="Arial" w:cs="Arial"/>
                <w:sz w:val="22"/>
                <w:szCs w:val="22"/>
              </w:rPr>
            </w:pPr>
          </w:p>
        </w:tc>
        <w:tc>
          <w:tcPr>
            <w:tcW w:w="1990" w:type="dxa"/>
            <w:vAlign w:val="center"/>
          </w:tcPr>
          <w:p w14:paraId="608B1BC5" w14:textId="77777777" w:rsidR="00807A25" w:rsidRDefault="00807A25" w:rsidP="00B64B16">
            <w:pPr>
              <w:rPr>
                <w:rFonts w:ascii="Arial" w:hAnsi="Arial" w:cs="Arial"/>
                <w:sz w:val="22"/>
                <w:szCs w:val="22"/>
              </w:rPr>
            </w:pPr>
          </w:p>
        </w:tc>
      </w:tr>
      <w:tr w:rsidR="00807A25" w14:paraId="60CDF375" w14:textId="77777777" w:rsidTr="00DB714E">
        <w:trPr>
          <w:trHeight w:val="432"/>
          <w:jc w:val="center"/>
        </w:trPr>
        <w:tc>
          <w:tcPr>
            <w:tcW w:w="5485" w:type="dxa"/>
          </w:tcPr>
          <w:p w14:paraId="6CFDCCB2" w14:textId="77777777" w:rsidR="00807A25" w:rsidRDefault="00807A25" w:rsidP="00306430">
            <w:pPr>
              <w:jc w:val="both"/>
              <w:rPr>
                <w:rFonts w:ascii="Arial" w:hAnsi="Arial" w:cs="Arial"/>
                <w:sz w:val="22"/>
                <w:szCs w:val="22"/>
              </w:rPr>
            </w:pPr>
          </w:p>
        </w:tc>
        <w:tc>
          <w:tcPr>
            <w:tcW w:w="1800" w:type="dxa"/>
            <w:vAlign w:val="center"/>
          </w:tcPr>
          <w:p w14:paraId="5FA2B54F" w14:textId="77777777" w:rsidR="00807A25" w:rsidRDefault="00807A25" w:rsidP="00B64B16">
            <w:pPr>
              <w:rPr>
                <w:rFonts w:ascii="Arial" w:hAnsi="Arial" w:cs="Arial"/>
                <w:sz w:val="22"/>
                <w:szCs w:val="22"/>
              </w:rPr>
            </w:pPr>
          </w:p>
        </w:tc>
        <w:tc>
          <w:tcPr>
            <w:tcW w:w="1990" w:type="dxa"/>
            <w:vAlign w:val="center"/>
          </w:tcPr>
          <w:p w14:paraId="0012803A" w14:textId="77777777" w:rsidR="00807A25" w:rsidRDefault="00807A25" w:rsidP="00B64B16">
            <w:pPr>
              <w:rPr>
                <w:rFonts w:ascii="Arial" w:hAnsi="Arial" w:cs="Arial"/>
                <w:sz w:val="22"/>
                <w:szCs w:val="22"/>
              </w:rPr>
            </w:pPr>
          </w:p>
        </w:tc>
      </w:tr>
      <w:tr w:rsidR="00825F53" w14:paraId="03F6EB88" w14:textId="77777777" w:rsidTr="00DB714E">
        <w:trPr>
          <w:trHeight w:val="368"/>
          <w:jc w:val="center"/>
        </w:trPr>
        <w:tc>
          <w:tcPr>
            <w:tcW w:w="5485" w:type="dxa"/>
            <w:shd w:val="clear" w:color="auto" w:fill="DEEAF6" w:themeFill="accent1" w:themeFillTint="33"/>
            <w:vAlign w:val="center"/>
          </w:tcPr>
          <w:p w14:paraId="5801A6CC" w14:textId="77777777" w:rsidR="00825F53" w:rsidRPr="00883216" w:rsidRDefault="00825F53" w:rsidP="000825FA">
            <w:pPr>
              <w:jc w:val="right"/>
              <w:rPr>
                <w:rFonts w:ascii="Arial" w:hAnsi="Arial" w:cs="Arial"/>
                <w:b/>
                <w:sz w:val="22"/>
                <w:szCs w:val="22"/>
              </w:rPr>
            </w:pPr>
            <w:r w:rsidRPr="00883216">
              <w:rPr>
                <w:rFonts w:ascii="Arial" w:hAnsi="Arial" w:cs="Arial"/>
                <w:b/>
                <w:sz w:val="22"/>
                <w:szCs w:val="22"/>
              </w:rPr>
              <w:t>Total One-Time Costs</w:t>
            </w:r>
          </w:p>
        </w:tc>
        <w:tc>
          <w:tcPr>
            <w:tcW w:w="1800" w:type="dxa"/>
            <w:shd w:val="clear" w:color="auto" w:fill="auto"/>
          </w:tcPr>
          <w:p w14:paraId="5268B8AC" w14:textId="77777777" w:rsidR="00825F53" w:rsidRPr="00883216" w:rsidRDefault="00825F53" w:rsidP="00306430">
            <w:pPr>
              <w:jc w:val="both"/>
              <w:rPr>
                <w:rFonts w:ascii="Arial" w:hAnsi="Arial" w:cs="Arial"/>
                <w:b/>
                <w:sz w:val="22"/>
                <w:szCs w:val="22"/>
              </w:rPr>
            </w:pPr>
          </w:p>
        </w:tc>
        <w:tc>
          <w:tcPr>
            <w:tcW w:w="1990" w:type="dxa"/>
            <w:shd w:val="clear" w:color="auto" w:fill="auto"/>
          </w:tcPr>
          <w:p w14:paraId="16819327" w14:textId="77777777" w:rsidR="00825F53" w:rsidRPr="00883216" w:rsidRDefault="00825F53" w:rsidP="00306430">
            <w:pPr>
              <w:jc w:val="both"/>
              <w:rPr>
                <w:rFonts w:ascii="Arial" w:hAnsi="Arial" w:cs="Arial"/>
                <w:b/>
                <w:sz w:val="22"/>
                <w:szCs w:val="22"/>
              </w:rPr>
            </w:pPr>
          </w:p>
        </w:tc>
      </w:tr>
    </w:tbl>
    <w:p w14:paraId="32B661E6" w14:textId="77777777" w:rsidR="00CA3013" w:rsidRPr="003560BD" w:rsidRDefault="00CA3013" w:rsidP="00306430">
      <w:pPr>
        <w:jc w:val="both"/>
        <w:rPr>
          <w:rFonts w:ascii="Arial" w:hAnsi="Arial" w:cs="Arial"/>
          <w:sz w:val="22"/>
          <w:szCs w:val="22"/>
        </w:rPr>
      </w:pPr>
    </w:p>
    <w:p w14:paraId="19D695D0" w14:textId="77777777" w:rsidR="00BF1916" w:rsidRDefault="00BF1916" w:rsidP="004920DB">
      <w:pPr>
        <w:rPr>
          <w:rFonts w:ascii="Arial" w:hAnsi="Arial" w:cs="Arial"/>
          <w:b/>
          <w:bCs/>
          <w:sz w:val="22"/>
          <w:szCs w:val="22"/>
        </w:rPr>
      </w:pPr>
    </w:p>
    <w:tbl>
      <w:tblPr>
        <w:tblStyle w:val="TableGrid"/>
        <w:tblW w:w="0" w:type="auto"/>
        <w:jc w:val="center"/>
        <w:tblLook w:val="04A0" w:firstRow="1" w:lastRow="0" w:firstColumn="1" w:lastColumn="0" w:noHBand="0" w:noVBand="1"/>
      </w:tblPr>
      <w:tblGrid>
        <w:gridCol w:w="5045"/>
        <w:gridCol w:w="2340"/>
        <w:gridCol w:w="1890"/>
      </w:tblGrid>
      <w:tr w:rsidR="00807A25" w14:paraId="46C1D43F" w14:textId="77777777" w:rsidTr="00DB714E">
        <w:trPr>
          <w:trHeight w:val="432"/>
          <w:jc w:val="center"/>
        </w:trPr>
        <w:tc>
          <w:tcPr>
            <w:tcW w:w="5045" w:type="dxa"/>
            <w:shd w:val="clear" w:color="auto" w:fill="DEEAF6" w:themeFill="accent1" w:themeFillTint="33"/>
          </w:tcPr>
          <w:p w14:paraId="583E1D8F" w14:textId="77777777" w:rsidR="00807A25" w:rsidRPr="00883216" w:rsidRDefault="00807A25" w:rsidP="000825FA">
            <w:pPr>
              <w:jc w:val="both"/>
              <w:rPr>
                <w:rFonts w:ascii="Arial" w:hAnsi="Arial" w:cs="Arial"/>
                <w:b/>
                <w:sz w:val="22"/>
                <w:szCs w:val="22"/>
              </w:rPr>
            </w:pPr>
            <w:r w:rsidRPr="00883216">
              <w:rPr>
                <w:rFonts w:ascii="Arial" w:hAnsi="Arial" w:cs="Arial"/>
                <w:b/>
                <w:sz w:val="22"/>
                <w:szCs w:val="22"/>
              </w:rPr>
              <w:t>Description</w:t>
            </w:r>
          </w:p>
        </w:tc>
        <w:tc>
          <w:tcPr>
            <w:tcW w:w="2340" w:type="dxa"/>
            <w:shd w:val="clear" w:color="auto" w:fill="DEEAF6" w:themeFill="accent1" w:themeFillTint="33"/>
          </w:tcPr>
          <w:p w14:paraId="6200DE59" w14:textId="77777777" w:rsidR="00807A25" w:rsidRDefault="00807A25" w:rsidP="000825FA">
            <w:pPr>
              <w:jc w:val="center"/>
              <w:rPr>
                <w:rFonts w:ascii="Arial" w:hAnsi="Arial" w:cs="Arial"/>
                <w:b/>
                <w:sz w:val="22"/>
                <w:szCs w:val="22"/>
              </w:rPr>
            </w:pPr>
            <w:r w:rsidRPr="00883216">
              <w:rPr>
                <w:rFonts w:ascii="Arial" w:hAnsi="Arial" w:cs="Arial"/>
                <w:b/>
                <w:sz w:val="22"/>
                <w:szCs w:val="22"/>
              </w:rPr>
              <w:t xml:space="preserve">Basis </w:t>
            </w:r>
          </w:p>
          <w:p w14:paraId="565EEFA5" w14:textId="77777777" w:rsidR="00807A25" w:rsidRPr="00883216" w:rsidRDefault="00807A25" w:rsidP="000825FA">
            <w:pPr>
              <w:jc w:val="center"/>
              <w:rPr>
                <w:rFonts w:ascii="Arial" w:hAnsi="Arial" w:cs="Arial"/>
                <w:b/>
                <w:sz w:val="22"/>
                <w:szCs w:val="22"/>
              </w:rPr>
            </w:pPr>
            <w:r w:rsidRPr="00883216">
              <w:rPr>
                <w:rFonts w:ascii="Arial" w:hAnsi="Arial" w:cs="Arial"/>
                <w:b/>
                <w:sz w:val="22"/>
                <w:szCs w:val="22"/>
              </w:rPr>
              <w:t>(flat fee/percentage)</w:t>
            </w:r>
          </w:p>
        </w:tc>
        <w:tc>
          <w:tcPr>
            <w:tcW w:w="1890" w:type="dxa"/>
            <w:shd w:val="clear" w:color="auto" w:fill="DEEAF6" w:themeFill="accent1" w:themeFillTint="33"/>
          </w:tcPr>
          <w:p w14:paraId="131C7BB0" w14:textId="77777777" w:rsidR="00807A25" w:rsidRPr="00883216" w:rsidRDefault="00807A25" w:rsidP="000825FA">
            <w:pPr>
              <w:jc w:val="center"/>
              <w:rPr>
                <w:rFonts w:ascii="Arial" w:hAnsi="Arial" w:cs="Arial"/>
                <w:b/>
                <w:sz w:val="22"/>
                <w:szCs w:val="22"/>
              </w:rPr>
            </w:pPr>
            <w:r w:rsidRPr="00883216">
              <w:rPr>
                <w:rFonts w:ascii="Arial" w:hAnsi="Arial" w:cs="Arial"/>
                <w:b/>
                <w:sz w:val="22"/>
                <w:szCs w:val="22"/>
              </w:rPr>
              <w:t>Cost</w:t>
            </w:r>
          </w:p>
        </w:tc>
      </w:tr>
      <w:tr w:rsidR="00807A25" w14:paraId="7584E70E" w14:textId="77777777" w:rsidTr="00DB714E">
        <w:trPr>
          <w:trHeight w:val="432"/>
          <w:jc w:val="center"/>
        </w:trPr>
        <w:tc>
          <w:tcPr>
            <w:tcW w:w="5045" w:type="dxa"/>
          </w:tcPr>
          <w:p w14:paraId="14F84F67" w14:textId="77777777" w:rsidR="00807A25" w:rsidRDefault="00807A25" w:rsidP="00460508">
            <w:pPr>
              <w:jc w:val="both"/>
              <w:rPr>
                <w:rFonts w:ascii="Arial" w:hAnsi="Arial" w:cs="Arial"/>
                <w:sz w:val="22"/>
                <w:szCs w:val="22"/>
              </w:rPr>
            </w:pPr>
            <w:r>
              <w:rPr>
                <w:rFonts w:ascii="Arial" w:hAnsi="Arial" w:cs="Arial"/>
                <w:sz w:val="22"/>
                <w:szCs w:val="22"/>
              </w:rPr>
              <w:t>Golf Fee</w:t>
            </w:r>
          </w:p>
        </w:tc>
        <w:tc>
          <w:tcPr>
            <w:tcW w:w="2340" w:type="dxa"/>
          </w:tcPr>
          <w:p w14:paraId="150AE615" w14:textId="77777777" w:rsidR="00807A25" w:rsidRDefault="00807A25" w:rsidP="00460508">
            <w:pPr>
              <w:jc w:val="both"/>
              <w:rPr>
                <w:rFonts w:ascii="Arial" w:hAnsi="Arial" w:cs="Arial"/>
                <w:sz w:val="22"/>
                <w:szCs w:val="22"/>
              </w:rPr>
            </w:pPr>
          </w:p>
        </w:tc>
        <w:tc>
          <w:tcPr>
            <w:tcW w:w="1890" w:type="dxa"/>
            <w:vAlign w:val="center"/>
          </w:tcPr>
          <w:p w14:paraId="5E2967ED" w14:textId="77777777" w:rsidR="00807A25" w:rsidRDefault="00807A25" w:rsidP="00460508">
            <w:pPr>
              <w:rPr>
                <w:rFonts w:ascii="Arial" w:hAnsi="Arial" w:cs="Arial"/>
                <w:sz w:val="22"/>
                <w:szCs w:val="22"/>
              </w:rPr>
            </w:pPr>
          </w:p>
        </w:tc>
      </w:tr>
      <w:tr w:rsidR="00807A25" w14:paraId="7D271CF8" w14:textId="77777777" w:rsidTr="00DB714E">
        <w:trPr>
          <w:trHeight w:val="432"/>
          <w:jc w:val="center"/>
        </w:trPr>
        <w:tc>
          <w:tcPr>
            <w:tcW w:w="5045" w:type="dxa"/>
          </w:tcPr>
          <w:p w14:paraId="06A0FCE0" w14:textId="77777777" w:rsidR="00807A25" w:rsidRDefault="00807A25" w:rsidP="00460508">
            <w:pPr>
              <w:jc w:val="both"/>
              <w:rPr>
                <w:rFonts w:ascii="Arial" w:hAnsi="Arial" w:cs="Arial"/>
                <w:sz w:val="22"/>
                <w:szCs w:val="22"/>
              </w:rPr>
            </w:pPr>
            <w:r>
              <w:rPr>
                <w:rFonts w:ascii="Arial" w:hAnsi="Arial" w:cs="Arial"/>
                <w:sz w:val="22"/>
                <w:szCs w:val="22"/>
              </w:rPr>
              <w:t>Merchandise/Food Sales</w:t>
            </w:r>
          </w:p>
        </w:tc>
        <w:tc>
          <w:tcPr>
            <w:tcW w:w="2340" w:type="dxa"/>
          </w:tcPr>
          <w:p w14:paraId="6911C95B" w14:textId="77777777" w:rsidR="00807A25" w:rsidRDefault="00807A25" w:rsidP="00460508">
            <w:pPr>
              <w:jc w:val="both"/>
              <w:rPr>
                <w:rFonts w:ascii="Arial" w:hAnsi="Arial" w:cs="Arial"/>
                <w:sz w:val="22"/>
                <w:szCs w:val="22"/>
              </w:rPr>
            </w:pPr>
          </w:p>
        </w:tc>
        <w:tc>
          <w:tcPr>
            <w:tcW w:w="1890" w:type="dxa"/>
            <w:vAlign w:val="center"/>
          </w:tcPr>
          <w:p w14:paraId="6A6699CC" w14:textId="77777777" w:rsidR="00807A25" w:rsidRDefault="00807A25" w:rsidP="00460508">
            <w:pPr>
              <w:rPr>
                <w:rFonts w:ascii="Arial" w:hAnsi="Arial" w:cs="Arial"/>
                <w:sz w:val="22"/>
                <w:szCs w:val="22"/>
              </w:rPr>
            </w:pPr>
          </w:p>
        </w:tc>
      </w:tr>
      <w:tr w:rsidR="00807A25" w14:paraId="0D687E3E" w14:textId="77777777" w:rsidTr="00DB714E">
        <w:trPr>
          <w:trHeight w:val="432"/>
          <w:jc w:val="center"/>
        </w:trPr>
        <w:tc>
          <w:tcPr>
            <w:tcW w:w="5045" w:type="dxa"/>
          </w:tcPr>
          <w:p w14:paraId="608F4B94" w14:textId="77777777" w:rsidR="00807A25" w:rsidRDefault="00807A25" w:rsidP="00460508">
            <w:pPr>
              <w:jc w:val="both"/>
              <w:rPr>
                <w:rFonts w:ascii="Arial" w:hAnsi="Arial" w:cs="Arial"/>
                <w:sz w:val="22"/>
                <w:szCs w:val="22"/>
              </w:rPr>
            </w:pPr>
            <w:r>
              <w:rPr>
                <w:rFonts w:ascii="Arial" w:hAnsi="Arial" w:cs="Arial"/>
                <w:sz w:val="22"/>
                <w:szCs w:val="22"/>
              </w:rPr>
              <w:t>Fully Loaded Change Order Rate</w:t>
            </w:r>
          </w:p>
        </w:tc>
        <w:tc>
          <w:tcPr>
            <w:tcW w:w="2340" w:type="dxa"/>
          </w:tcPr>
          <w:p w14:paraId="745365C6" w14:textId="77777777" w:rsidR="00807A25" w:rsidRDefault="00807A25" w:rsidP="00460508">
            <w:pPr>
              <w:jc w:val="both"/>
              <w:rPr>
                <w:rFonts w:ascii="Arial" w:hAnsi="Arial" w:cs="Arial"/>
                <w:sz w:val="22"/>
                <w:szCs w:val="22"/>
              </w:rPr>
            </w:pPr>
          </w:p>
        </w:tc>
        <w:tc>
          <w:tcPr>
            <w:tcW w:w="1890" w:type="dxa"/>
            <w:vAlign w:val="center"/>
          </w:tcPr>
          <w:p w14:paraId="3E74442E" w14:textId="77777777" w:rsidR="00807A25" w:rsidRDefault="00807A25" w:rsidP="00460508">
            <w:pPr>
              <w:rPr>
                <w:rFonts w:ascii="Arial" w:hAnsi="Arial" w:cs="Arial"/>
                <w:sz w:val="22"/>
                <w:szCs w:val="22"/>
              </w:rPr>
            </w:pPr>
          </w:p>
        </w:tc>
      </w:tr>
    </w:tbl>
    <w:p w14:paraId="7CBFC8B7" w14:textId="4AFC70E3" w:rsidR="00DB714E" w:rsidRDefault="00DB714E" w:rsidP="004920DB">
      <w:pPr>
        <w:rPr>
          <w:rFonts w:ascii="Arial" w:hAnsi="Arial" w:cs="Arial"/>
          <w:b/>
          <w:bCs/>
          <w:sz w:val="22"/>
          <w:szCs w:val="22"/>
        </w:rPr>
      </w:pPr>
    </w:p>
    <w:p w14:paraId="51839040" w14:textId="77777777" w:rsidR="00BD55E4" w:rsidRDefault="00BD55E4" w:rsidP="004920DB">
      <w:pPr>
        <w:rPr>
          <w:rFonts w:ascii="Arial" w:hAnsi="Arial" w:cs="Arial"/>
          <w:b/>
          <w:bCs/>
          <w:sz w:val="22"/>
          <w:szCs w:val="22"/>
        </w:rPr>
      </w:pPr>
    </w:p>
    <w:p w14:paraId="430C1A0C" w14:textId="00FC3B4A" w:rsidR="00DB714E" w:rsidRPr="00DB714E" w:rsidRDefault="00DB714E" w:rsidP="00DB714E">
      <w:pPr>
        <w:tabs>
          <w:tab w:val="left" w:pos="1035"/>
        </w:tabs>
        <w:ind w:left="1800" w:hanging="1080"/>
        <w:rPr>
          <w:rFonts w:ascii="Arial" w:hAnsi="Arial" w:cs="Arial"/>
          <w:b/>
          <w:sz w:val="22"/>
          <w:szCs w:val="22"/>
        </w:rPr>
      </w:pPr>
      <w:r w:rsidRPr="00DB714E">
        <w:rPr>
          <w:rFonts w:ascii="Arial" w:hAnsi="Arial" w:cs="Arial"/>
          <w:b/>
          <w:sz w:val="22"/>
          <w:szCs w:val="22"/>
        </w:rPr>
        <w:lastRenderedPageBreak/>
        <w:t>1.2</w:t>
      </w:r>
      <w:r w:rsidRPr="00DB714E">
        <w:rPr>
          <w:rFonts w:ascii="Arial" w:hAnsi="Arial" w:cs="Arial"/>
          <w:b/>
          <w:sz w:val="22"/>
          <w:szCs w:val="22"/>
        </w:rPr>
        <w:tab/>
      </w:r>
      <w:r>
        <w:rPr>
          <w:rFonts w:ascii="Arial" w:hAnsi="Arial" w:cs="Arial"/>
          <w:b/>
          <w:sz w:val="22"/>
          <w:szCs w:val="22"/>
        </w:rPr>
        <w:tab/>
      </w:r>
      <w:r w:rsidRPr="00DB714E">
        <w:rPr>
          <w:rFonts w:ascii="Arial" w:hAnsi="Arial" w:cs="Arial"/>
          <w:b/>
          <w:sz w:val="22"/>
          <w:szCs w:val="22"/>
        </w:rPr>
        <w:t>Vendor cost submission using Vendor’s alternative payment processor as stated in Section VII, Item 7.9.2</w:t>
      </w:r>
    </w:p>
    <w:p w14:paraId="44DD5597" w14:textId="77777777" w:rsidR="00DB714E" w:rsidRPr="00DB714E" w:rsidRDefault="00DB714E" w:rsidP="00DB714E">
      <w:pPr>
        <w:tabs>
          <w:tab w:val="left" w:pos="1035"/>
        </w:tabs>
        <w:rPr>
          <w:rFonts w:ascii="Arial" w:hAnsi="Arial" w:cs="Arial"/>
          <w:sz w:val="22"/>
          <w:szCs w:val="22"/>
        </w:rPr>
      </w:pPr>
      <w:r>
        <w:rPr>
          <w:rFonts w:ascii="Arial" w:hAnsi="Arial" w:cs="Arial"/>
          <w:sz w:val="22"/>
          <w:szCs w:val="22"/>
        </w:rPr>
        <w:tab/>
      </w:r>
    </w:p>
    <w:tbl>
      <w:tblPr>
        <w:tblStyle w:val="TableGrid"/>
        <w:tblW w:w="0" w:type="auto"/>
        <w:jc w:val="center"/>
        <w:tblLook w:val="04A0" w:firstRow="1" w:lastRow="0" w:firstColumn="1" w:lastColumn="0" w:noHBand="0" w:noVBand="1"/>
      </w:tblPr>
      <w:tblGrid>
        <w:gridCol w:w="5485"/>
        <w:gridCol w:w="1800"/>
        <w:gridCol w:w="1990"/>
      </w:tblGrid>
      <w:tr w:rsidR="00DB714E" w14:paraId="1FDB205D" w14:textId="77777777" w:rsidTr="005E2E92">
        <w:trPr>
          <w:trHeight w:val="432"/>
          <w:jc w:val="center"/>
        </w:trPr>
        <w:tc>
          <w:tcPr>
            <w:tcW w:w="5485" w:type="dxa"/>
            <w:shd w:val="clear" w:color="auto" w:fill="DEEAF6" w:themeFill="accent1" w:themeFillTint="33"/>
          </w:tcPr>
          <w:p w14:paraId="7A295F96" w14:textId="77777777" w:rsidR="00DB714E" w:rsidRPr="00825F53" w:rsidRDefault="00DB714E" w:rsidP="005E2E92">
            <w:pPr>
              <w:rPr>
                <w:rFonts w:ascii="Arial" w:hAnsi="Arial" w:cs="Arial"/>
                <w:b/>
                <w:sz w:val="22"/>
                <w:szCs w:val="22"/>
              </w:rPr>
            </w:pPr>
            <w:r w:rsidRPr="00825F53">
              <w:rPr>
                <w:rFonts w:ascii="Arial" w:hAnsi="Arial" w:cs="Arial"/>
                <w:b/>
                <w:sz w:val="22"/>
                <w:szCs w:val="22"/>
              </w:rPr>
              <w:t>Description</w:t>
            </w:r>
          </w:p>
        </w:tc>
        <w:tc>
          <w:tcPr>
            <w:tcW w:w="1800" w:type="dxa"/>
            <w:shd w:val="clear" w:color="auto" w:fill="DEEAF6" w:themeFill="accent1" w:themeFillTint="33"/>
          </w:tcPr>
          <w:p w14:paraId="2045069D" w14:textId="77777777" w:rsidR="00DB714E" w:rsidRPr="00825F53" w:rsidRDefault="00DB714E" w:rsidP="005E2E92">
            <w:pPr>
              <w:rPr>
                <w:rFonts w:ascii="Arial" w:hAnsi="Arial" w:cs="Arial"/>
                <w:b/>
                <w:sz w:val="22"/>
                <w:szCs w:val="22"/>
              </w:rPr>
            </w:pPr>
            <w:r w:rsidRPr="00825F53">
              <w:rPr>
                <w:rFonts w:ascii="Arial" w:hAnsi="Arial" w:cs="Arial"/>
                <w:b/>
                <w:sz w:val="22"/>
                <w:szCs w:val="22"/>
              </w:rPr>
              <w:t>Unit Cost</w:t>
            </w:r>
          </w:p>
        </w:tc>
        <w:tc>
          <w:tcPr>
            <w:tcW w:w="1990" w:type="dxa"/>
            <w:shd w:val="clear" w:color="auto" w:fill="DEEAF6" w:themeFill="accent1" w:themeFillTint="33"/>
          </w:tcPr>
          <w:p w14:paraId="131B7819" w14:textId="77777777" w:rsidR="00DB714E" w:rsidRPr="00825F53" w:rsidRDefault="00DB714E" w:rsidP="005E2E92">
            <w:pPr>
              <w:rPr>
                <w:rFonts w:ascii="Arial" w:hAnsi="Arial" w:cs="Arial"/>
                <w:b/>
                <w:sz w:val="22"/>
                <w:szCs w:val="22"/>
              </w:rPr>
            </w:pPr>
            <w:r w:rsidRPr="00825F53">
              <w:rPr>
                <w:rFonts w:ascii="Arial" w:hAnsi="Arial" w:cs="Arial"/>
                <w:b/>
                <w:sz w:val="22"/>
                <w:szCs w:val="22"/>
              </w:rPr>
              <w:t>Extended Cost</w:t>
            </w:r>
          </w:p>
        </w:tc>
      </w:tr>
      <w:tr w:rsidR="00DB714E" w14:paraId="4D9C46D2" w14:textId="77777777" w:rsidTr="005E2E92">
        <w:trPr>
          <w:trHeight w:val="432"/>
          <w:jc w:val="center"/>
        </w:trPr>
        <w:tc>
          <w:tcPr>
            <w:tcW w:w="5485" w:type="dxa"/>
          </w:tcPr>
          <w:p w14:paraId="34755BFD" w14:textId="77777777" w:rsidR="00DB714E" w:rsidRDefault="00DB714E" w:rsidP="005E2E92">
            <w:pPr>
              <w:jc w:val="both"/>
              <w:rPr>
                <w:rFonts w:ascii="Arial" w:hAnsi="Arial" w:cs="Arial"/>
                <w:sz w:val="22"/>
                <w:szCs w:val="22"/>
              </w:rPr>
            </w:pPr>
            <w:r>
              <w:rPr>
                <w:rFonts w:ascii="Arial" w:hAnsi="Arial" w:cs="Arial"/>
                <w:sz w:val="22"/>
                <w:szCs w:val="22"/>
              </w:rPr>
              <w:t>Implementation Costs (fully loaded with travel, subsistence and associated per diem costs)</w:t>
            </w:r>
          </w:p>
        </w:tc>
        <w:tc>
          <w:tcPr>
            <w:tcW w:w="1800" w:type="dxa"/>
            <w:vAlign w:val="center"/>
          </w:tcPr>
          <w:p w14:paraId="1556C856" w14:textId="77777777" w:rsidR="00DB714E" w:rsidRDefault="00DB714E" w:rsidP="005E2E92">
            <w:pPr>
              <w:rPr>
                <w:rFonts w:ascii="Arial" w:hAnsi="Arial" w:cs="Arial"/>
                <w:sz w:val="22"/>
                <w:szCs w:val="22"/>
              </w:rPr>
            </w:pPr>
            <w:r>
              <w:rPr>
                <w:rFonts w:ascii="Arial" w:hAnsi="Arial" w:cs="Arial"/>
                <w:sz w:val="22"/>
                <w:szCs w:val="22"/>
              </w:rPr>
              <w:t>$</w:t>
            </w:r>
          </w:p>
        </w:tc>
        <w:tc>
          <w:tcPr>
            <w:tcW w:w="1990" w:type="dxa"/>
            <w:vAlign w:val="center"/>
          </w:tcPr>
          <w:p w14:paraId="3D505366" w14:textId="77777777" w:rsidR="00DB714E" w:rsidRDefault="00DB714E" w:rsidP="005E2E92">
            <w:pPr>
              <w:rPr>
                <w:rFonts w:ascii="Arial" w:hAnsi="Arial" w:cs="Arial"/>
                <w:sz w:val="22"/>
                <w:szCs w:val="22"/>
              </w:rPr>
            </w:pPr>
            <w:r>
              <w:rPr>
                <w:rFonts w:ascii="Arial" w:hAnsi="Arial" w:cs="Arial"/>
                <w:sz w:val="22"/>
                <w:szCs w:val="22"/>
              </w:rPr>
              <w:t>$</w:t>
            </w:r>
          </w:p>
        </w:tc>
      </w:tr>
      <w:tr w:rsidR="00DB714E" w14:paraId="76054786" w14:textId="77777777" w:rsidTr="005E2E92">
        <w:trPr>
          <w:trHeight w:val="432"/>
          <w:jc w:val="center"/>
        </w:trPr>
        <w:tc>
          <w:tcPr>
            <w:tcW w:w="5485" w:type="dxa"/>
          </w:tcPr>
          <w:p w14:paraId="7F55CD29" w14:textId="77777777" w:rsidR="00DB714E" w:rsidRDefault="00DB714E" w:rsidP="005E2E92">
            <w:pPr>
              <w:jc w:val="both"/>
              <w:rPr>
                <w:rFonts w:ascii="Arial" w:hAnsi="Arial" w:cs="Arial"/>
                <w:sz w:val="22"/>
                <w:szCs w:val="22"/>
              </w:rPr>
            </w:pPr>
            <w:r>
              <w:rPr>
                <w:rFonts w:ascii="Arial" w:hAnsi="Arial" w:cs="Arial"/>
                <w:sz w:val="22"/>
                <w:szCs w:val="22"/>
              </w:rPr>
              <w:t xml:space="preserve">Conversion Fees </w:t>
            </w:r>
          </w:p>
        </w:tc>
        <w:tc>
          <w:tcPr>
            <w:tcW w:w="1800" w:type="dxa"/>
            <w:vAlign w:val="center"/>
          </w:tcPr>
          <w:p w14:paraId="19ACAD29" w14:textId="77777777" w:rsidR="00DB714E" w:rsidRDefault="00DB714E" w:rsidP="005E2E92">
            <w:pPr>
              <w:rPr>
                <w:rFonts w:ascii="Arial" w:hAnsi="Arial" w:cs="Arial"/>
                <w:sz w:val="22"/>
                <w:szCs w:val="22"/>
              </w:rPr>
            </w:pPr>
            <w:r>
              <w:rPr>
                <w:rFonts w:ascii="Arial" w:hAnsi="Arial" w:cs="Arial"/>
                <w:sz w:val="22"/>
                <w:szCs w:val="22"/>
              </w:rPr>
              <w:t>$</w:t>
            </w:r>
          </w:p>
        </w:tc>
        <w:tc>
          <w:tcPr>
            <w:tcW w:w="1990" w:type="dxa"/>
            <w:vAlign w:val="center"/>
          </w:tcPr>
          <w:p w14:paraId="107BBCC3" w14:textId="77777777" w:rsidR="00DB714E" w:rsidRDefault="00DB714E" w:rsidP="005E2E92">
            <w:pPr>
              <w:rPr>
                <w:rFonts w:ascii="Arial" w:hAnsi="Arial" w:cs="Arial"/>
                <w:sz w:val="22"/>
                <w:szCs w:val="22"/>
              </w:rPr>
            </w:pPr>
            <w:r>
              <w:rPr>
                <w:rFonts w:ascii="Arial" w:hAnsi="Arial" w:cs="Arial"/>
                <w:sz w:val="22"/>
                <w:szCs w:val="22"/>
              </w:rPr>
              <w:t>$</w:t>
            </w:r>
          </w:p>
        </w:tc>
      </w:tr>
      <w:tr w:rsidR="00DB714E" w14:paraId="0EB111A0" w14:textId="77777777" w:rsidTr="005E2E92">
        <w:trPr>
          <w:trHeight w:val="432"/>
          <w:jc w:val="center"/>
        </w:trPr>
        <w:tc>
          <w:tcPr>
            <w:tcW w:w="5485" w:type="dxa"/>
          </w:tcPr>
          <w:p w14:paraId="4395D2D8" w14:textId="77777777" w:rsidR="00DB714E" w:rsidRDefault="00DB714E" w:rsidP="005E2E92">
            <w:pPr>
              <w:jc w:val="both"/>
              <w:rPr>
                <w:rFonts w:ascii="Arial" w:hAnsi="Arial" w:cs="Arial"/>
                <w:sz w:val="22"/>
                <w:szCs w:val="22"/>
              </w:rPr>
            </w:pPr>
            <w:r>
              <w:rPr>
                <w:rFonts w:ascii="Arial" w:hAnsi="Arial" w:cs="Arial"/>
                <w:sz w:val="22"/>
                <w:szCs w:val="22"/>
              </w:rPr>
              <w:t>Training (4 users; 2 administrators)</w:t>
            </w:r>
          </w:p>
        </w:tc>
        <w:tc>
          <w:tcPr>
            <w:tcW w:w="1800" w:type="dxa"/>
            <w:vAlign w:val="center"/>
          </w:tcPr>
          <w:p w14:paraId="65C68959" w14:textId="77777777" w:rsidR="00DB714E" w:rsidRDefault="00DB714E" w:rsidP="005E2E92">
            <w:pPr>
              <w:rPr>
                <w:rFonts w:ascii="Arial" w:hAnsi="Arial" w:cs="Arial"/>
                <w:sz w:val="22"/>
                <w:szCs w:val="22"/>
              </w:rPr>
            </w:pPr>
            <w:r>
              <w:rPr>
                <w:rFonts w:ascii="Arial" w:hAnsi="Arial" w:cs="Arial"/>
                <w:sz w:val="22"/>
                <w:szCs w:val="22"/>
              </w:rPr>
              <w:t>$</w:t>
            </w:r>
          </w:p>
        </w:tc>
        <w:tc>
          <w:tcPr>
            <w:tcW w:w="1990" w:type="dxa"/>
            <w:vAlign w:val="center"/>
          </w:tcPr>
          <w:p w14:paraId="0C901638" w14:textId="77777777" w:rsidR="00DB714E" w:rsidRDefault="00DB714E" w:rsidP="005E2E92">
            <w:pPr>
              <w:rPr>
                <w:rFonts w:ascii="Arial" w:hAnsi="Arial" w:cs="Arial"/>
                <w:sz w:val="22"/>
                <w:szCs w:val="22"/>
              </w:rPr>
            </w:pPr>
            <w:r>
              <w:rPr>
                <w:rFonts w:ascii="Arial" w:hAnsi="Arial" w:cs="Arial"/>
                <w:sz w:val="22"/>
                <w:szCs w:val="22"/>
              </w:rPr>
              <w:t>$</w:t>
            </w:r>
          </w:p>
        </w:tc>
      </w:tr>
      <w:tr w:rsidR="00DB714E" w14:paraId="3EBF807B" w14:textId="77777777" w:rsidTr="005E2E92">
        <w:trPr>
          <w:trHeight w:val="432"/>
          <w:jc w:val="center"/>
        </w:trPr>
        <w:tc>
          <w:tcPr>
            <w:tcW w:w="5485" w:type="dxa"/>
          </w:tcPr>
          <w:p w14:paraId="39FDF234" w14:textId="77777777" w:rsidR="00DB714E" w:rsidRDefault="00DB714E" w:rsidP="005E2E92">
            <w:pPr>
              <w:jc w:val="both"/>
              <w:rPr>
                <w:rFonts w:ascii="Arial" w:hAnsi="Arial" w:cs="Arial"/>
                <w:sz w:val="22"/>
                <w:szCs w:val="22"/>
              </w:rPr>
            </w:pPr>
            <w:r>
              <w:rPr>
                <w:rFonts w:ascii="Arial" w:hAnsi="Arial" w:cs="Arial"/>
                <w:sz w:val="22"/>
                <w:szCs w:val="22"/>
              </w:rPr>
              <w:t>Others Costs (specify)</w:t>
            </w:r>
          </w:p>
        </w:tc>
        <w:tc>
          <w:tcPr>
            <w:tcW w:w="1800" w:type="dxa"/>
            <w:vAlign w:val="center"/>
          </w:tcPr>
          <w:p w14:paraId="5E418EE1" w14:textId="77777777" w:rsidR="00DB714E" w:rsidRDefault="00DB714E" w:rsidP="005E2E92">
            <w:pPr>
              <w:rPr>
                <w:rFonts w:ascii="Arial" w:hAnsi="Arial" w:cs="Arial"/>
                <w:sz w:val="22"/>
                <w:szCs w:val="22"/>
              </w:rPr>
            </w:pPr>
            <w:r>
              <w:rPr>
                <w:rFonts w:ascii="Arial" w:hAnsi="Arial" w:cs="Arial"/>
                <w:sz w:val="22"/>
                <w:szCs w:val="22"/>
              </w:rPr>
              <w:t>$</w:t>
            </w:r>
          </w:p>
        </w:tc>
        <w:tc>
          <w:tcPr>
            <w:tcW w:w="1990" w:type="dxa"/>
            <w:vAlign w:val="center"/>
          </w:tcPr>
          <w:p w14:paraId="14132D5A" w14:textId="77777777" w:rsidR="00DB714E" w:rsidRDefault="00DB714E" w:rsidP="005E2E92">
            <w:pPr>
              <w:rPr>
                <w:rFonts w:ascii="Arial" w:hAnsi="Arial" w:cs="Arial"/>
                <w:sz w:val="22"/>
                <w:szCs w:val="22"/>
              </w:rPr>
            </w:pPr>
            <w:r>
              <w:rPr>
                <w:rFonts w:ascii="Arial" w:hAnsi="Arial" w:cs="Arial"/>
                <w:sz w:val="22"/>
                <w:szCs w:val="22"/>
              </w:rPr>
              <w:t>$</w:t>
            </w:r>
          </w:p>
        </w:tc>
      </w:tr>
      <w:tr w:rsidR="00DB714E" w14:paraId="458268D1" w14:textId="77777777" w:rsidTr="005E2E92">
        <w:trPr>
          <w:trHeight w:val="432"/>
          <w:jc w:val="center"/>
        </w:trPr>
        <w:tc>
          <w:tcPr>
            <w:tcW w:w="5485" w:type="dxa"/>
          </w:tcPr>
          <w:p w14:paraId="53B0BDA8" w14:textId="77777777" w:rsidR="00DB714E" w:rsidRDefault="00DB714E" w:rsidP="005E2E92">
            <w:pPr>
              <w:jc w:val="both"/>
              <w:rPr>
                <w:rFonts w:ascii="Arial" w:hAnsi="Arial" w:cs="Arial"/>
                <w:sz w:val="22"/>
                <w:szCs w:val="22"/>
              </w:rPr>
            </w:pPr>
            <w:r>
              <w:rPr>
                <w:rFonts w:ascii="Arial" w:hAnsi="Arial" w:cs="Arial"/>
                <w:sz w:val="22"/>
                <w:szCs w:val="22"/>
              </w:rPr>
              <w:t>Performance Bond</w:t>
            </w:r>
          </w:p>
        </w:tc>
        <w:tc>
          <w:tcPr>
            <w:tcW w:w="1800" w:type="dxa"/>
            <w:shd w:val="clear" w:color="auto" w:fill="E7E6E6" w:themeFill="background2"/>
            <w:vAlign w:val="center"/>
          </w:tcPr>
          <w:p w14:paraId="3E68C11B" w14:textId="77777777" w:rsidR="00DB714E" w:rsidRDefault="00DB714E" w:rsidP="005E2E92">
            <w:pPr>
              <w:rPr>
                <w:rFonts w:ascii="Arial" w:hAnsi="Arial" w:cs="Arial"/>
                <w:sz w:val="22"/>
                <w:szCs w:val="22"/>
              </w:rPr>
            </w:pPr>
          </w:p>
        </w:tc>
        <w:tc>
          <w:tcPr>
            <w:tcW w:w="1990" w:type="dxa"/>
            <w:vAlign w:val="center"/>
          </w:tcPr>
          <w:p w14:paraId="53C4F1F0" w14:textId="77777777" w:rsidR="00DB714E" w:rsidRDefault="00DB714E" w:rsidP="005E2E92">
            <w:pPr>
              <w:rPr>
                <w:rFonts w:ascii="Arial" w:hAnsi="Arial" w:cs="Arial"/>
                <w:sz w:val="22"/>
                <w:szCs w:val="22"/>
              </w:rPr>
            </w:pPr>
          </w:p>
        </w:tc>
      </w:tr>
      <w:tr w:rsidR="00DB714E" w14:paraId="7A71088B" w14:textId="77777777" w:rsidTr="005E2E92">
        <w:trPr>
          <w:trHeight w:val="432"/>
          <w:jc w:val="center"/>
        </w:trPr>
        <w:tc>
          <w:tcPr>
            <w:tcW w:w="5485" w:type="dxa"/>
          </w:tcPr>
          <w:p w14:paraId="36FBF198" w14:textId="77777777" w:rsidR="00DB714E" w:rsidRDefault="00DB714E" w:rsidP="005E2E92">
            <w:pPr>
              <w:jc w:val="both"/>
              <w:rPr>
                <w:rFonts w:ascii="Arial" w:hAnsi="Arial" w:cs="Arial"/>
                <w:sz w:val="22"/>
                <w:szCs w:val="22"/>
              </w:rPr>
            </w:pPr>
          </w:p>
        </w:tc>
        <w:tc>
          <w:tcPr>
            <w:tcW w:w="1800" w:type="dxa"/>
            <w:vAlign w:val="center"/>
          </w:tcPr>
          <w:p w14:paraId="7A701B9F" w14:textId="77777777" w:rsidR="00DB714E" w:rsidRDefault="00DB714E" w:rsidP="005E2E92">
            <w:pPr>
              <w:rPr>
                <w:rFonts w:ascii="Arial" w:hAnsi="Arial" w:cs="Arial"/>
                <w:sz w:val="22"/>
                <w:szCs w:val="22"/>
              </w:rPr>
            </w:pPr>
          </w:p>
        </w:tc>
        <w:tc>
          <w:tcPr>
            <w:tcW w:w="1990" w:type="dxa"/>
            <w:vAlign w:val="center"/>
          </w:tcPr>
          <w:p w14:paraId="39E0A6F0" w14:textId="77777777" w:rsidR="00DB714E" w:rsidRDefault="00DB714E" w:rsidP="005E2E92">
            <w:pPr>
              <w:rPr>
                <w:rFonts w:ascii="Arial" w:hAnsi="Arial" w:cs="Arial"/>
                <w:sz w:val="22"/>
                <w:szCs w:val="22"/>
              </w:rPr>
            </w:pPr>
          </w:p>
        </w:tc>
      </w:tr>
      <w:tr w:rsidR="00DB714E" w14:paraId="3E9AE57F" w14:textId="77777777" w:rsidTr="005E2E92">
        <w:trPr>
          <w:trHeight w:val="368"/>
          <w:jc w:val="center"/>
        </w:trPr>
        <w:tc>
          <w:tcPr>
            <w:tcW w:w="5485" w:type="dxa"/>
            <w:shd w:val="clear" w:color="auto" w:fill="DEEAF6" w:themeFill="accent1" w:themeFillTint="33"/>
            <w:vAlign w:val="center"/>
          </w:tcPr>
          <w:p w14:paraId="5D61C803" w14:textId="77777777" w:rsidR="00DB714E" w:rsidRPr="00883216" w:rsidRDefault="00DB714E" w:rsidP="005E2E92">
            <w:pPr>
              <w:jc w:val="right"/>
              <w:rPr>
                <w:rFonts w:ascii="Arial" w:hAnsi="Arial" w:cs="Arial"/>
                <w:b/>
                <w:sz w:val="22"/>
                <w:szCs w:val="22"/>
              </w:rPr>
            </w:pPr>
            <w:r w:rsidRPr="00883216">
              <w:rPr>
                <w:rFonts w:ascii="Arial" w:hAnsi="Arial" w:cs="Arial"/>
                <w:b/>
                <w:sz w:val="22"/>
                <w:szCs w:val="22"/>
              </w:rPr>
              <w:t>Total One-Time Costs</w:t>
            </w:r>
          </w:p>
        </w:tc>
        <w:tc>
          <w:tcPr>
            <w:tcW w:w="1800" w:type="dxa"/>
            <w:shd w:val="clear" w:color="auto" w:fill="auto"/>
          </w:tcPr>
          <w:p w14:paraId="0B42FD53" w14:textId="77777777" w:rsidR="00DB714E" w:rsidRPr="00883216" w:rsidRDefault="00DB714E" w:rsidP="005E2E92">
            <w:pPr>
              <w:jc w:val="both"/>
              <w:rPr>
                <w:rFonts w:ascii="Arial" w:hAnsi="Arial" w:cs="Arial"/>
                <w:b/>
                <w:sz w:val="22"/>
                <w:szCs w:val="22"/>
              </w:rPr>
            </w:pPr>
          </w:p>
        </w:tc>
        <w:tc>
          <w:tcPr>
            <w:tcW w:w="1990" w:type="dxa"/>
            <w:shd w:val="clear" w:color="auto" w:fill="auto"/>
          </w:tcPr>
          <w:p w14:paraId="23FD11A6" w14:textId="77777777" w:rsidR="00DB714E" w:rsidRPr="00883216" w:rsidRDefault="00DB714E" w:rsidP="005E2E92">
            <w:pPr>
              <w:jc w:val="both"/>
              <w:rPr>
                <w:rFonts w:ascii="Arial" w:hAnsi="Arial" w:cs="Arial"/>
                <w:b/>
                <w:sz w:val="22"/>
                <w:szCs w:val="22"/>
              </w:rPr>
            </w:pPr>
          </w:p>
        </w:tc>
      </w:tr>
    </w:tbl>
    <w:p w14:paraId="2D474328" w14:textId="15D2B7C9" w:rsidR="00DB714E" w:rsidRDefault="00DB714E" w:rsidP="00DB714E">
      <w:pPr>
        <w:rPr>
          <w:rFonts w:ascii="Arial" w:hAnsi="Arial" w:cs="Arial"/>
          <w:sz w:val="22"/>
          <w:szCs w:val="22"/>
        </w:rPr>
      </w:pPr>
    </w:p>
    <w:p w14:paraId="0AA80DC9" w14:textId="77777777" w:rsidR="00DB714E" w:rsidRDefault="00DB714E" w:rsidP="00DB714E">
      <w:pPr>
        <w:tabs>
          <w:tab w:val="left" w:pos="2175"/>
        </w:tabs>
        <w:rPr>
          <w:rFonts w:ascii="Arial" w:hAnsi="Arial" w:cs="Arial"/>
          <w:sz w:val="22"/>
          <w:szCs w:val="22"/>
        </w:rPr>
      </w:pPr>
      <w:r>
        <w:rPr>
          <w:rFonts w:ascii="Arial" w:hAnsi="Arial" w:cs="Arial"/>
          <w:sz w:val="22"/>
          <w:szCs w:val="22"/>
        </w:rPr>
        <w:tab/>
      </w:r>
    </w:p>
    <w:tbl>
      <w:tblPr>
        <w:tblStyle w:val="TableGrid"/>
        <w:tblW w:w="0" w:type="auto"/>
        <w:jc w:val="center"/>
        <w:tblLook w:val="04A0" w:firstRow="1" w:lastRow="0" w:firstColumn="1" w:lastColumn="0" w:noHBand="0" w:noVBand="1"/>
      </w:tblPr>
      <w:tblGrid>
        <w:gridCol w:w="5045"/>
        <w:gridCol w:w="2340"/>
        <w:gridCol w:w="1890"/>
      </w:tblGrid>
      <w:tr w:rsidR="00DB714E" w14:paraId="4A39CC3D" w14:textId="77777777" w:rsidTr="005E2E92">
        <w:trPr>
          <w:trHeight w:val="432"/>
          <w:jc w:val="center"/>
        </w:trPr>
        <w:tc>
          <w:tcPr>
            <w:tcW w:w="5045" w:type="dxa"/>
            <w:shd w:val="clear" w:color="auto" w:fill="DEEAF6" w:themeFill="accent1" w:themeFillTint="33"/>
          </w:tcPr>
          <w:p w14:paraId="6C257C48" w14:textId="77777777" w:rsidR="00DB714E" w:rsidRPr="00883216" w:rsidRDefault="00DB714E" w:rsidP="005E2E92">
            <w:pPr>
              <w:jc w:val="both"/>
              <w:rPr>
                <w:rFonts w:ascii="Arial" w:hAnsi="Arial" w:cs="Arial"/>
                <w:b/>
                <w:sz w:val="22"/>
                <w:szCs w:val="22"/>
              </w:rPr>
            </w:pPr>
            <w:r w:rsidRPr="00883216">
              <w:rPr>
                <w:rFonts w:ascii="Arial" w:hAnsi="Arial" w:cs="Arial"/>
                <w:b/>
                <w:sz w:val="22"/>
                <w:szCs w:val="22"/>
              </w:rPr>
              <w:t>Description</w:t>
            </w:r>
          </w:p>
        </w:tc>
        <w:tc>
          <w:tcPr>
            <w:tcW w:w="2340" w:type="dxa"/>
            <w:shd w:val="clear" w:color="auto" w:fill="DEEAF6" w:themeFill="accent1" w:themeFillTint="33"/>
          </w:tcPr>
          <w:p w14:paraId="751DD30F" w14:textId="77777777" w:rsidR="00DB714E" w:rsidRDefault="00DB714E" w:rsidP="005E2E92">
            <w:pPr>
              <w:jc w:val="center"/>
              <w:rPr>
                <w:rFonts w:ascii="Arial" w:hAnsi="Arial" w:cs="Arial"/>
                <w:b/>
                <w:sz w:val="22"/>
                <w:szCs w:val="22"/>
              </w:rPr>
            </w:pPr>
            <w:r w:rsidRPr="00883216">
              <w:rPr>
                <w:rFonts w:ascii="Arial" w:hAnsi="Arial" w:cs="Arial"/>
                <w:b/>
                <w:sz w:val="22"/>
                <w:szCs w:val="22"/>
              </w:rPr>
              <w:t xml:space="preserve">Basis </w:t>
            </w:r>
          </w:p>
          <w:p w14:paraId="1436DEDD" w14:textId="77777777" w:rsidR="00DB714E" w:rsidRPr="00883216" w:rsidRDefault="00DB714E" w:rsidP="005E2E92">
            <w:pPr>
              <w:jc w:val="center"/>
              <w:rPr>
                <w:rFonts w:ascii="Arial" w:hAnsi="Arial" w:cs="Arial"/>
                <w:b/>
                <w:sz w:val="22"/>
                <w:szCs w:val="22"/>
              </w:rPr>
            </w:pPr>
            <w:r w:rsidRPr="00883216">
              <w:rPr>
                <w:rFonts w:ascii="Arial" w:hAnsi="Arial" w:cs="Arial"/>
                <w:b/>
                <w:sz w:val="22"/>
                <w:szCs w:val="22"/>
              </w:rPr>
              <w:t>(flat fee/percentage)</w:t>
            </w:r>
          </w:p>
        </w:tc>
        <w:tc>
          <w:tcPr>
            <w:tcW w:w="1890" w:type="dxa"/>
            <w:shd w:val="clear" w:color="auto" w:fill="DEEAF6" w:themeFill="accent1" w:themeFillTint="33"/>
          </w:tcPr>
          <w:p w14:paraId="181073DE" w14:textId="77777777" w:rsidR="00DB714E" w:rsidRPr="00883216" w:rsidRDefault="00DB714E" w:rsidP="005E2E92">
            <w:pPr>
              <w:jc w:val="center"/>
              <w:rPr>
                <w:rFonts w:ascii="Arial" w:hAnsi="Arial" w:cs="Arial"/>
                <w:b/>
                <w:sz w:val="22"/>
                <w:szCs w:val="22"/>
              </w:rPr>
            </w:pPr>
            <w:r w:rsidRPr="00883216">
              <w:rPr>
                <w:rFonts w:ascii="Arial" w:hAnsi="Arial" w:cs="Arial"/>
                <w:b/>
                <w:sz w:val="22"/>
                <w:szCs w:val="22"/>
              </w:rPr>
              <w:t>Cost</w:t>
            </w:r>
          </w:p>
        </w:tc>
      </w:tr>
      <w:tr w:rsidR="00DB714E" w14:paraId="71527165" w14:textId="77777777" w:rsidTr="005E2E92">
        <w:trPr>
          <w:trHeight w:val="432"/>
          <w:jc w:val="center"/>
        </w:trPr>
        <w:tc>
          <w:tcPr>
            <w:tcW w:w="5045" w:type="dxa"/>
          </w:tcPr>
          <w:p w14:paraId="265D09AB" w14:textId="77777777" w:rsidR="00DB714E" w:rsidRDefault="00DB714E" w:rsidP="005E2E92">
            <w:pPr>
              <w:jc w:val="both"/>
              <w:rPr>
                <w:rFonts w:ascii="Arial" w:hAnsi="Arial" w:cs="Arial"/>
                <w:sz w:val="22"/>
                <w:szCs w:val="22"/>
              </w:rPr>
            </w:pPr>
            <w:r>
              <w:rPr>
                <w:rFonts w:ascii="Arial" w:hAnsi="Arial" w:cs="Arial"/>
                <w:sz w:val="22"/>
                <w:szCs w:val="22"/>
              </w:rPr>
              <w:t>Golf Fee</w:t>
            </w:r>
          </w:p>
        </w:tc>
        <w:tc>
          <w:tcPr>
            <w:tcW w:w="2340" w:type="dxa"/>
          </w:tcPr>
          <w:p w14:paraId="5A489FDD" w14:textId="77777777" w:rsidR="00DB714E" w:rsidRDefault="00DB714E" w:rsidP="005E2E92">
            <w:pPr>
              <w:jc w:val="both"/>
              <w:rPr>
                <w:rFonts w:ascii="Arial" w:hAnsi="Arial" w:cs="Arial"/>
                <w:sz w:val="22"/>
                <w:szCs w:val="22"/>
              </w:rPr>
            </w:pPr>
          </w:p>
        </w:tc>
        <w:tc>
          <w:tcPr>
            <w:tcW w:w="1890" w:type="dxa"/>
            <w:vAlign w:val="center"/>
          </w:tcPr>
          <w:p w14:paraId="2F29CAB6" w14:textId="77777777" w:rsidR="00DB714E" w:rsidRDefault="00DB714E" w:rsidP="005E2E92">
            <w:pPr>
              <w:rPr>
                <w:rFonts w:ascii="Arial" w:hAnsi="Arial" w:cs="Arial"/>
                <w:sz w:val="22"/>
                <w:szCs w:val="22"/>
              </w:rPr>
            </w:pPr>
          </w:p>
        </w:tc>
      </w:tr>
      <w:tr w:rsidR="00DB714E" w14:paraId="3D868F10" w14:textId="77777777" w:rsidTr="005E2E92">
        <w:trPr>
          <w:trHeight w:val="432"/>
          <w:jc w:val="center"/>
        </w:trPr>
        <w:tc>
          <w:tcPr>
            <w:tcW w:w="5045" w:type="dxa"/>
          </w:tcPr>
          <w:p w14:paraId="02D52243" w14:textId="77777777" w:rsidR="00DB714E" w:rsidRDefault="00DB714E" w:rsidP="005E2E92">
            <w:pPr>
              <w:jc w:val="both"/>
              <w:rPr>
                <w:rFonts w:ascii="Arial" w:hAnsi="Arial" w:cs="Arial"/>
                <w:sz w:val="22"/>
                <w:szCs w:val="22"/>
              </w:rPr>
            </w:pPr>
            <w:r>
              <w:rPr>
                <w:rFonts w:ascii="Arial" w:hAnsi="Arial" w:cs="Arial"/>
                <w:sz w:val="22"/>
                <w:szCs w:val="22"/>
              </w:rPr>
              <w:t>Merchandise/Food Sales</w:t>
            </w:r>
          </w:p>
        </w:tc>
        <w:tc>
          <w:tcPr>
            <w:tcW w:w="2340" w:type="dxa"/>
          </w:tcPr>
          <w:p w14:paraId="45900D7A" w14:textId="77777777" w:rsidR="00DB714E" w:rsidRDefault="00DB714E" w:rsidP="005E2E92">
            <w:pPr>
              <w:jc w:val="both"/>
              <w:rPr>
                <w:rFonts w:ascii="Arial" w:hAnsi="Arial" w:cs="Arial"/>
                <w:sz w:val="22"/>
                <w:szCs w:val="22"/>
              </w:rPr>
            </w:pPr>
          </w:p>
        </w:tc>
        <w:tc>
          <w:tcPr>
            <w:tcW w:w="1890" w:type="dxa"/>
            <w:vAlign w:val="center"/>
          </w:tcPr>
          <w:p w14:paraId="4261D072" w14:textId="77777777" w:rsidR="00DB714E" w:rsidRDefault="00DB714E" w:rsidP="005E2E92">
            <w:pPr>
              <w:rPr>
                <w:rFonts w:ascii="Arial" w:hAnsi="Arial" w:cs="Arial"/>
                <w:sz w:val="22"/>
                <w:szCs w:val="22"/>
              </w:rPr>
            </w:pPr>
          </w:p>
        </w:tc>
      </w:tr>
      <w:tr w:rsidR="00DB714E" w14:paraId="0F86DCA0" w14:textId="77777777" w:rsidTr="005E2E92">
        <w:trPr>
          <w:trHeight w:val="432"/>
          <w:jc w:val="center"/>
        </w:trPr>
        <w:tc>
          <w:tcPr>
            <w:tcW w:w="5045" w:type="dxa"/>
          </w:tcPr>
          <w:p w14:paraId="6E2B36FF" w14:textId="77777777" w:rsidR="00DB714E" w:rsidRDefault="00DB714E" w:rsidP="005E2E92">
            <w:pPr>
              <w:jc w:val="both"/>
              <w:rPr>
                <w:rFonts w:ascii="Arial" w:hAnsi="Arial" w:cs="Arial"/>
                <w:sz w:val="22"/>
                <w:szCs w:val="22"/>
              </w:rPr>
            </w:pPr>
            <w:r>
              <w:rPr>
                <w:rFonts w:ascii="Arial" w:hAnsi="Arial" w:cs="Arial"/>
                <w:sz w:val="22"/>
                <w:szCs w:val="22"/>
              </w:rPr>
              <w:t>Fully Loaded Change Order Rate</w:t>
            </w:r>
          </w:p>
        </w:tc>
        <w:tc>
          <w:tcPr>
            <w:tcW w:w="2340" w:type="dxa"/>
          </w:tcPr>
          <w:p w14:paraId="0AE9BAD8" w14:textId="77777777" w:rsidR="00DB714E" w:rsidRDefault="00DB714E" w:rsidP="005E2E92">
            <w:pPr>
              <w:jc w:val="both"/>
              <w:rPr>
                <w:rFonts w:ascii="Arial" w:hAnsi="Arial" w:cs="Arial"/>
                <w:sz w:val="22"/>
                <w:szCs w:val="22"/>
              </w:rPr>
            </w:pPr>
          </w:p>
        </w:tc>
        <w:tc>
          <w:tcPr>
            <w:tcW w:w="1890" w:type="dxa"/>
            <w:vAlign w:val="center"/>
          </w:tcPr>
          <w:p w14:paraId="43B19AA7" w14:textId="77777777" w:rsidR="00DB714E" w:rsidRDefault="00DB714E" w:rsidP="005E2E92">
            <w:pPr>
              <w:rPr>
                <w:rFonts w:ascii="Arial" w:hAnsi="Arial" w:cs="Arial"/>
                <w:sz w:val="22"/>
                <w:szCs w:val="22"/>
              </w:rPr>
            </w:pPr>
          </w:p>
        </w:tc>
      </w:tr>
    </w:tbl>
    <w:p w14:paraId="5CEB144F" w14:textId="2BCA4AE5" w:rsidR="00DB714E" w:rsidRDefault="00DB714E" w:rsidP="00DB714E">
      <w:pPr>
        <w:tabs>
          <w:tab w:val="left" w:pos="2175"/>
        </w:tabs>
        <w:rPr>
          <w:rFonts w:ascii="Arial" w:hAnsi="Arial" w:cs="Arial"/>
          <w:sz w:val="22"/>
          <w:szCs w:val="22"/>
        </w:rPr>
      </w:pPr>
    </w:p>
    <w:p w14:paraId="2E13F879" w14:textId="30C5D450" w:rsidR="00B94363" w:rsidRPr="00DB714E" w:rsidRDefault="00DB714E" w:rsidP="00DB714E">
      <w:pPr>
        <w:tabs>
          <w:tab w:val="left" w:pos="2175"/>
        </w:tabs>
        <w:rPr>
          <w:rFonts w:ascii="Arial" w:hAnsi="Arial" w:cs="Arial"/>
          <w:sz w:val="22"/>
          <w:szCs w:val="22"/>
        </w:rPr>
        <w:sectPr w:rsidR="00B94363" w:rsidRPr="00DB714E" w:rsidSect="00BF1916">
          <w:headerReference w:type="default" r:id="rId37"/>
          <w:pgSz w:w="15840" w:h="12240" w:orient="landscape" w:code="1"/>
          <w:pgMar w:top="1440" w:right="1440" w:bottom="1440" w:left="1440" w:header="720" w:footer="720" w:gutter="0"/>
          <w:cols w:space="720"/>
          <w:noEndnote/>
          <w:docGrid w:linePitch="326"/>
        </w:sectPr>
      </w:pPr>
      <w:r>
        <w:rPr>
          <w:rFonts w:ascii="Arial" w:hAnsi="Arial" w:cs="Arial"/>
          <w:sz w:val="22"/>
          <w:szCs w:val="22"/>
        </w:rPr>
        <w:tab/>
      </w:r>
    </w:p>
    <w:p w14:paraId="64841D86" w14:textId="77777777" w:rsidR="00BF6B07" w:rsidRPr="003560BD" w:rsidRDefault="00BF6B07">
      <w:pPr>
        <w:pStyle w:val="Heading1"/>
        <w:rPr>
          <w:rFonts w:ascii="Arial" w:hAnsi="Arial" w:cs="Arial"/>
          <w:sz w:val="22"/>
          <w:szCs w:val="22"/>
        </w:rPr>
      </w:pPr>
      <w:bookmarkStart w:id="135" w:name="_Toc49239770"/>
      <w:bookmarkStart w:id="136" w:name="_Toc483995376"/>
      <w:r w:rsidRPr="003560BD">
        <w:rPr>
          <w:rFonts w:ascii="Arial" w:hAnsi="Arial" w:cs="Arial"/>
          <w:sz w:val="22"/>
          <w:szCs w:val="22"/>
        </w:rPr>
        <w:lastRenderedPageBreak/>
        <w:t xml:space="preserve">SECTION </w:t>
      </w:r>
      <w:bookmarkEnd w:id="135"/>
      <w:r w:rsidRPr="003560BD">
        <w:rPr>
          <w:rFonts w:ascii="Arial" w:hAnsi="Arial" w:cs="Arial"/>
          <w:sz w:val="22"/>
          <w:szCs w:val="22"/>
        </w:rPr>
        <w:t>IX</w:t>
      </w:r>
      <w:bookmarkEnd w:id="136"/>
    </w:p>
    <w:p w14:paraId="3B6D8010" w14:textId="77777777" w:rsidR="00BF6B07" w:rsidRPr="003560BD" w:rsidRDefault="00BF6B07">
      <w:pPr>
        <w:pStyle w:val="Heading2"/>
        <w:rPr>
          <w:rFonts w:ascii="Arial" w:hAnsi="Arial" w:cs="Arial"/>
          <w:sz w:val="22"/>
          <w:szCs w:val="22"/>
        </w:rPr>
      </w:pPr>
      <w:bookmarkStart w:id="137" w:name="_Toc483995377"/>
      <w:r w:rsidRPr="003560BD">
        <w:rPr>
          <w:rFonts w:ascii="Arial" w:hAnsi="Arial" w:cs="Arial"/>
          <w:sz w:val="22"/>
          <w:szCs w:val="22"/>
        </w:rPr>
        <w:t>REFERENCES</w:t>
      </w:r>
      <w:bookmarkEnd w:id="137"/>
    </w:p>
    <w:p w14:paraId="72D6AC3E" w14:textId="77777777" w:rsidR="00BF6B07" w:rsidRPr="003560BD" w:rsidRDefault="00BF6B07" w:rsidP="00BF6B07">
      <w:pPr>
        <w:pStyle w:val="Level1"/>
        <w:numPr>
          <w:ilvl w:val="0"/>
          <w:numId w:val="0"/>
        </w:numPr>
        <w:jc w:val="both"/>
        <w:rPr>
          <w:rFonts w:ascii="Arial" w:hAnsi="Arial" w:cs="Arial"/>
          <w:sz w:val="22"/>
          <w:szCs w:val="22"/>
        </w:rPr>
      </w:pPr>
      <w:bookmarkStart w:id="138" w:name="_Toc49239772"/>
      <w:r w:rsidRPr="003560BD">
        <w:rPr>
          <w:rFonts w:ascii="Arial" w:hAnsi="Arial" w:cs="Arial"/>
          <w:sz w:val="22"/>
          <w:szCs w:val="22"/>
        </w:rPr>
        <w:t>Please return the following Reference Forms, and if applicable, Subcontractor Reference Forms.</w:t>
      </w:r>
    </w:p>
    <w:p w14:paraId="309ABCD6"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8"/>
    </w:p>
    <w:p w14:paraId="3B4B3064" w14:textId="10E24387" w:rsidR="00DD3E93" w:rsidRPr="003560BD" w:rsidRDefault="00BF6B07" w:rsidP="00635AD0">
      <w:pPr>
        <w:pStyle w:val="Level2"/>
      </w:pPr>
      <w:r w:rsidRPr="003560BD">
        <w:t xml:space="preserve">The Vendor must provide at least </w:t>
      </w:r>
      <w:r w:rsidR="00477EF3">
        <w:t>three (</w:t>
      </w:r>
      <w:r w:rsidRPr="00E60415">
        <w:fldChar w:fldCharType="begin"/>
      </w:r>
      <w:r w:rsidRPr="00E60415">
        <w:instrText xml:space="preserve"> ASK References "Enter the number of references Vendor must provide (Ex. five (5))" \* MERGEFORMAT </w:instrText>
      </w:r>
      <w:r w:rsidRPr="00E60415">
        <w:fldChar w:fldCharType="separate"/>
      </w:r>
      <w:bookmarkStart w:id="139" w:name="References"/>
      <w:r w:rsidR="002B69E0" w:rsidRPr="00E60415">
        <w:t>3</w:t>
      </w:r>
      <w:bookmarkEnd w:id="139"/>
      <w:r w:rsidRPr="00E60415">
        <w:fldChar w:fldCharType="end"/>
      </w:r>
      <w:r w:rsidRPr="00E60415">
        <w:fldChar w:fldCharType="begin"/>
      </w:r>
      <w:r w:rsidRPr="00E60415">
        <w:instrText xml:space="preserve"> REF References  \* </w:instrText>
      </w:r>
      <w:r w:rsidR="00C32F25" w:rsidRPr="00E60415">
        <w:instrText>CHAR</w:instrText>
      </w:r>
      <w:r w:rsidRPr="00E60415">
        <w:instrText xml:space="preserve">FORMAT </w:instrText>
      </w:r>
      <w:r w:rsidR="00774B6E" w:rsidRPr="00E60415">
        <w:instrText xml:space="preserve"> \* MERGEFORMAT </w:instrText>
      </w:r>
      <w:r w:rsidRPr="00E60415">
        <w:fldChar w:fldCharType="separate"/>
      </w:r>
      <w:r w:rsidR="00974D97" w:rsidRPr="00974D97">
        <w:rPr>
          <w:bCs/>
        </w:rPr>
        <w:t>3</w:t>
      </w:r>
      <w:r w:rsidRPr="00E60415">
        <w:fldChar w:fldCharType="end"/>
      </w:r>
      <w:r w:rsidR="00477EF3">
        <w:t>)</w:t>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4E8C2D37" w14:textId="77777777" w:rsidR="00DD3E93" w:rsidRPr="003560BD" w:rsidRDefault="00DD3E93" w:rsidP="000825FA">
      <w:pPr>
        <w:pStyle w:val="Level2"/>
      </w:pPr>
      <w:bookmarkStart w:id="140" w:name="_Toc49239773"/>
      <w:r w:rsidRPr="003560BD">
        <w:t>Any of the following may subject the Vendor’s proposal to being rated unfavorably relative to these criteria or removed from further consideration, at the State’s sole discretion:</w:t>
      </w:r>
    </w:p>
    <w:p w14:paraId="72AF7C5B" w14:textId="77777777" w:rsidR="00DD3E93" w:rsidRPr="003560BD" w:rsidRDefault="00DD3E93" w:rsidP="000825FA">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14:paraId="5142A60B" w14:textId="77777777" w:rsidR="00DD3E93" w:rsidRPr="003560BD" w:rsidRDefault="00DD3E93" w:rsidP="000825FA">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04E8DEEC" w14:textId="77777777" w:rsidR="00DD3E93" w:rsidRPr="003560BD" w:rsidRDefault="00DD3E93" w:rsidP="000825FA">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74BCBEED" w14:textId="77777777" w:rsidR="00DD3E93" w:rsidRPr="003560BD" w:rsidRDefault="00DD3E93" w:rsidP="000825FA">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07F576F9" w14:textId="77777777" w:rsidR="00DD3E93" w:rsidRPr="003560BD" w:rsidRDefault="007A624D" w:rsidP="000825FA">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6EE1DF15" w14:textId="77777777" w:rsidR="007A624D" w:rsidRPr="003560BD" w:rsidRDefault="007A624D" w:rsidP="000825FA">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6A382468" w14:textId="77777777" w:rsidR="007A624D" w:rsidRPr="003560BD" w:rsidRDefault="007A624D" w:rsidP="000825FA">
      <w:pPr>
        <w:pStyle w:val="Level3"/>
        <w:ind w:left="2880" w:hanging="108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0"/>
    <w:p w14:paraId="06D9ACAF" w14:textId="77777777" w:rsidR="007A624D" w:rsidRPr="003560BD" w:rsidRDefault="007A624D" w:rsidP="000825FA">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67C27590" w14:textId="77777777" w:rsidR="007A624D" w:rsidRPr="003560BD" w:rsidRDefault="007A624D" w:rsidP="000825FA">
      <w:pPr>
        <w:pStyle w:val="Level2"/>
        <w:rPr>
          <w:color w:val="000000"/>
        </w:rPr>
      </w:pPr>
      <w:r w:rsidRPr="003560BD">
        <w:t>Unless otherwise indicated in the Scoring Methodology in Section VII, reference information available to the State will be used as follows:</w:t>
      </w:r>
    </w:p>
    <w:p w14:paraId="2A24F3CC"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66A9B4D2"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178AC2B8" w14:textId="77777777" w:rsidR="007A624D" w:rsidRPr="003560BD" w:rsidRDefault="007A624D" w:rsidP="00635AD0">
      <w:pPr>
        <w:pStyle w:val="Level2"/>
      </w:pPr>
      <w:r w:rsidRPr="003560BD">
        <w:t>The State reserves the right to forego reference checking when, at the State's sole discretion, the evaluation team determines that the capabilities of the recommended Vendor are known to the State.</w:t>
      </w:r>
    </w:p>
    <w:p w14:paraId="415CCBEF"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2008676B" w14:textId="42FE613F"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1" w:name="Subcontractor"/>
      <w:r w:rsidR="002B69E0">
        <w:rPr>
          <w:rFonts w:ascii="Arial" w:hAnsi="Arial" w:cs="Arial"/>
          <w:sz w:val="22"/>
          <w:szCs w:val="22"/>
        </w:rPr>
        <w:t>three (3)</w:t>
      </w:r>
      <w:bookmarkEnd w:id="141"/>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974D97">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w:t>
      </w:r>
      <w:r w:rsidR="00477EF3">
        <w:rPr>
          <w:rFonts w:ascii="Arial" w:hAnsi="Arial" w:cs="Arial"/>
          <w:sz w:val="22"/>
          <w:szCs w:val="22"/>
        </w:rPr>
        <w:t xml:space="preserve">rk that the State may contact. </w:t>
      </w:r>
      <w:r w:rsidRPr="003560BD">
        <w:rPr>
          <w:rFonts w:ascii="Arial" w:hAnsi="Arial" w:cs="Arial"/>
          <w:sz w:val="22"/>
          <w:szCs w:val="22"/>
        </w:rPr>
        <w:t>Forms for providing subcontractor information and references are included at the end of this section.</w:t>
      </w:r>
      <w:r w:rsidRPr="003560BD">
        <w:rPr>
          <w:rFonts w:ascii="Arial" w:hAnsi="Arial" w:cs="Arial"/>
          <w:b/>
          <w:bCs/>
          <w:sz w:val="22"/>
          <w:szCs w:val="22"/>
        </w:rPr>
        <w:t xml:space="preserve"> </w:t>
      </w:r>
    </w:p>
    <w:p w14:paraId="7D74344E"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w:t>
      </w:r>
      <w:r w:rsidR="00477EF3">
        <w:rPr>
          <w:rFonts w:ascii="Arial" w:hAnsi="Arial" w:cs="Arial"/>
          <w:sz w:val="22"/>
          <w:szCs w:val="22"/>
        </w:rPr>
        <w:t xml:space="preserve">rements met by subcontractors. </w:t>
      </w:r>
      <w:r w:rsidRPr="003560BD">
        <w:rPr>
          <w:rFonts w:ascii="Arial" w:hAnsi="Arial" w:cs="Arial"/>
          <w:sz w:val="22"/>
          <w:szCs w:val="22"/>
        </w:rPr>
        <w:t>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6E079CA1"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2" w:name="_Toc483995378"/>
      <w:r w:rsidRPr="003560BD">
        <w:rPr>
          <w:rFonts w:ascii="Arial" w:hAnsi="Arial" w:cs="Arial"/>
          <w:sz w:val="22"/>
          <w:szCs w:val="22"/>
        </w:rPr>
        <w:lastRenderedPageBreak/>
        <w:t>REFERENCE FORM</w:t>
      </w:r>
      <w:bookmarkEnd w:id="142"/>
    </w:p>
    <w:p w14:paraId="3510B5EA" w14:textId="77777777" w:rsidR="00BF6B07" w:rsidRPr="003560BD" w:rsidRDefault="00BF6B07">
      <w:pPr>
        <w:rPr>
          <w:rFonts w:ascii="Arial" w:hAnsi="Arial" w:cs="Arial"/>
          <w:b/>
          <w:bCs/>
          <w:sz w:val="22"/>
          <w:szCs w:val="22"/>
        </w:rPr>
      </w:pPr>
    </w:p>
    <w:p w14:paraId="5D1F9B5C" w14:textId="37060A79"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883216">
        <w:rPr>
          <w:rFonts w:ascii="Arial" w:hAnsi="Arial" w:cs="Arial"/>
          <w:b/>
          <w:bCs/>
          <w:sz w:val="22"/>
          <w:szCs w:val="22"/>
        </w:rPr>
        <w:t xml:space="preserve"> </w:t>
      </w:r>
      <w:r w:rsidR="00477EF3">
        <w:rPr>
          <w:rFonts w:ascii="Arial" w:hAnsi="Arial" w:cs="Arial"/>
          <w:b/>
          <w:bCs/>
          <w:sz w:val="22"/>
          <w:szCs w:val="22"/>
        </w:rPr>
        <w:t>three (</w:t>
      </w:r>
      <w:r w:rsidRPr="00883216">
        <w:rPr>
          <w:rFonts w:ascii="Arial" w:hAnsi="Arial" w:cs="Arial"/>
          <w:b/>
          <w:bCs/>
          <w:sz w:val="22"/>
          <w:szCs w:val="22"/>
        </w:rPr>
        <w:fldChar w:fldCharType="begin"/>
      </w:r>
      <w:r w:rsidRPr="00883216">
        <w:rPr>
          <w:rFonts w:ascii="Arial" w:hAnsi="Arial" w:cs="Arial"/>
          <w:b/>
          <w:bCs/>
          <w:sz w:val="22"/>
          <w:szCs w:val="22"/>
        </w:rPr>
        <w:instrText xml:space="preserve"> REF References  \* CHARFORMAT</w:instrText>
      </w:r>
      <w:r w:rsidR="0043639F" w:rsidRPr="00883216">
        <w:rPr>
          <w:rFonts w:ascii="Arial" w:hAnsi="Arial" w:cs="Arial"/>
          <w:b/>
          <w:bCs/>
          <w:sz w:val="22"/>
          <w:szCs w:val="22"/>
        </w:rPr>
        <w:instrText xml:space="preserve"> </w:instrText>
      </w:r>
      <w:r w:rsidR="00774B6E" w:rsidRPr="00883216">
        <w:rPr>
          <w:rFonts w:ascii="Arial" w:hAnsi="Arial" w:cs="Arial"/>
          <w:b/>
          <w:bCs/>
          <w:sz w:val="22"/>
          <w:szCs w:val="22"/>
        </w:rPr>
        <w:instrText xml:space="preserve"> \* MERGEFORMAT </w:instrText>
      </w:r>
      <w:r w:rsidRPr="00883216">
        <w:rPr>
          <w:rFonts w:ascii="Arial" w:hAnsi="Arial" w:cs="Arial"/>
          <w:b/>
          <w:bCs/>
          <w:sz w:val="22"/>
          <w:szCs w:val="22"/>
        </w:rPr>
        <w:fldChar w:fldCharType="separate"/>
      </w:r>
      <w:r w:rsidR="00974D97" w:rsidRPr="00974D97">
        <w:rPr>
          <w:rFonts w:ascii="Arial" w:hAnsi="Arial" w:cs="Arial"/>
          <w:b/>
          <w:sz w:val="22"/>
          <w:szCs w:val="22"/>
        </w:rPr>
        <w:t>3</w:t>
      </w:r>
      <w:r w:rsidRPr="00883216">
        <w:rPr>
          <w:rFonts w:ascii="Arial" w:hAnsi="Arial" w:cs="Arial"/>
          <w:b/>
          <w:bCs/>
          <w:sz w:val="22"/>
          <w:szCs w:val="22"/>
        </w:rPr>
        <w:fldChar w:fldCharType="end"/>
      </w:r>
      <w:r w:rsidR="00477EF3">
        <w:rPr>
          <w:rFonts w:ascii="Arial" w:hAnsi="Arial" w:cs="Arial"/>
          <w:b/>
          <w:bCs/>
          <w:sz w:val="22"/>
          <w:szCs w:val="22"/>
        </w:rPr>
        <w:t>)</w:t>
      </w:r>
      <w:r w:rsidRPr="003560BD">
        <w:rPr>
          <w:rFonts w:ascii="Arial" w:hAnsi="Arial" w:cs="Arial"/>
          <w:b/>
          <w:bCs/>
          <w:sz w:val="22"/>
          <w:szCs w:val="22"/>
        </w:rPr>
        <w:t xml:space="preserve"> Reference Forms.</w:t>
      </w:r>
    </w:p>
    <w:p w14:paraId="209811F5" w14:textId="77777777" w:rsidR="00BF6B07" w:rsidRPr="003560BD" w:rsidRDefault="00BF6B07" w:rsidP="00BF6B07">
      <w:pPr>
        <w:jc w:val="both"/>
        <w:rPr>
          <w:rFonts w:ascii="Arial" w:hAnsi="Arial" w:cs="Arial"/>
          <w:sz w:val="22"/>
          <w:szCs w:val="22"/>
        </w:rPr>
      </w:pPr>
    </w:p>
    <w:p w14:paraId="04F5AF5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6053323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72BAD4A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47DE97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6D72FE9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6F9E61DD"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2A1D484F"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406BBD44" w14:textId="77777777" w:rsidR="00BF6B07" w:rsidRPr="003560BD" w:rsidRDefault="00BF6B07" w:rsidP="00BF6B07">
      <w:pPr>
        <w:jc w:val="both"/>
        <w:rPr>
          <w:rFonts w:ascii="Arial" w:hAnsi="Arial" w:cs="Arial"/>
          <w:sz w:val="22"/>
          <w:szCs w:val="22"/>
        </w:rPr>
      </w:pPr>
    </w:p>
    <w:p w14:paraId="0048A6E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7E36E305" w14:textId="77777777" w:rsidR="00BF6B07" w:rsidRPr="003560BD" w:rsidRDefault="00BF6B07" w:rsidP="00BF6B07">
      <w:pPr>
        <w:jc w:val="both"/>
        <w:rPr>
          <w:rFonts w:ascii="Arial" w:hAnsi="Arial" w:cs="Arial"/>
          <w:sz w:val="22"/>
          <w:szCs w:val="22"/>
        </w:rPr>
      </w:pPr>
    </w:p>
    <w:p w14:paraId="1AB03C7E" w14:textId="77777777" w:rsidR="00BF6B07" w:rsidRPr="003560BD" w:rsidRDefault="00765C4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14:anchorId="4B982191" wp14:editId="264CA6F2">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C23D993" w14:textId="77777777" w:rsidR="00D37800" w:rsidRDefault="00D37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2191"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14:paraId="3C23D993" w14:textId="77777777" w:rsidR="00D37800" w:rsidRDefault="00D37800"/>
                  </w:txbxContent>
                </v:textbox>
                <w10:wrap type="topAndBottom"/>
              </v:shape>
            </w:pict>
          </mc:Fallback>
        </mc:AlternateContent>
      </w:r>
    </w:p>
    <w:p w14:paraId="760D716E" w14:textId="77777777" w:rsidR="00BF6B07" w:rsidRPr="003560BD" w:rsidRDefault="00BF6B07" w:rsidP="00BF6B07">
      <w:pPr>
        <w:jc w:val="both"/>
        <w:rPr>
          <w:rFonts w:ascii="Arial" w:hAnsi="Arial" w:cs="Arial"/>
          <w:sz w:val="22"/>
          <w:szCs w:val="22"/>
        </w:rPr>
      </w:pPr>
    </w:p>
    <w:p w14:paraId="7CC589FC" w14:textId="77777777" w:rsidR="00BF6B07" w:rsidRPr="003560BD" w:rsidRDefault="00BF6B07" w:rsidP="00BF6B07">
      <w:pPr>
        <w:jc w:val="both"/>
        <w:rPr>
          <w:rFonts w:ascii="Arial" w:hAnsi="Arial" w:cs="Arial"/>
          <w:sz w:val="22"/>
          <w:szCs w:val="22"/>
        </w:rPr>
      </w:pPr>
    </w:p>
    <w:p w14:paraId="414B80A8" w14:textId="77777777" w:rsidR="00BF6B07" w:rsidRPr="003560BD" w:rsidRDefault="00BF6B07" w:rsidP="00BF6B07">
      <w:pPr>
        <w:jc w:val="both"/>
        <w:rPr>
          <w:rFonts w:ascii="Arial" w:hAnsi="Arial" w:cs="Arial"/>
          <w:sz w:val="22"/>
          <w:szCs w:val="22"/>
        </w:rPr>
      </w:pPr>
    </w:p>
    <w:p w14:paraId="08938D78"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1FA6DF4E" w14:textId="77777777" w:rsidR="00BF6B07" w:rsidRPr="003560BD" w:rsidRDefault="00BF6B07">
      <w:pPr>
        <w:pStyle w:val="Heading2"/>
        <w:rPr>
          <w:rFonts w:ascii="Arial" w:hAnsi="Arial" w:cs="Arial"/>
          <w:sz w:val="22"/>
          <w:szCs w:val="22"/>
        </w:rPr>
      </w:pPr>
      <w:bookmarkStart w:id="143" w:name="_Toc483995379"/>
      <w:r w:rsidRPr="003560BD">
        <w:rPr>
          <w:rFonts w:ascii="Arial" w:hAnsi="Arial" w:cs="Arial"/>
          <w:sz w:val="22"/>
          <w:szCs w:val="22"/>
        </w:rPr>
        <w:lastRenderedPageBreak/>
        <w:t>SUBCONTRACTOR REFERENCE FORM</w:t>
      </w:r>
      <w:bookmarkEnd w:id="143"/>
    </w:p>
    <w:p w14:paraId="5FD17B57" w14:textId="77777777" w:rsidR="00BF6B07" w:rsidRPr="003560BD" w:rsidRDefault="00BF6B07">
      <w:pPr>
        <w:rPr>
          <w:rFonts w:ascii="Arial" w:hAnsi="Arial" w:cs="Arial"/>
          <w:sz w:val="22"/>
          <w:szCs w:val="22"/>
        </w:rPr>
      </w:pPr>
    </w:p>
    <w:p w14:paraId="0275A7CE"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14:paraId="76B32C3A" w14:textId="77777777" w:rsidR="00BF6B07" w:rsidRPr="003560BD" w:rsidRDefault="00BF6B07" w:rsidP="00BF6B07">
      <w:pPr>
        <w:jc w:val="both"/>
        <w:rPr>
          <w:rFonts w:ascii="Arial" w:hAnsi="Arial" w:cs="Arial"/>
          <w:sz w:val="22"/>
          <w:szCs w:val="22"/>
        </w:rPr>
      </w:pPr>
    </w:p>
    <w:p w14:paraId="52B4953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74CD88B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0C01D81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DCC233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5B6F5FD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ABCFF7E" w14:textId="77777777" w:rsidR="00BF6B07" w:rsidRPr="003560BD" w:rsidRDefault="00BF6B07" w:rsidP="00BF6B07">
      <w:pPr>
        <w:jc w:val="both"/>
        <w:rPr>
          <w:rFonts w:ascii="Arial" w:hAnsi="Arial" w:cs="Arial"/>
          <w:sz w:val="22"/>
          <w:szCs w:val="22"/>
        </w:rPr>
      </w:pPr>
    </w:p>
    <w:p w14:paraId="1FA261B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14:paraId="338A5968" w14:textId="77777777" w:rsidR="00BF6B07" w:rsidRPr="003560BD" w:rsidRDefault="00765C4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14:anchorId="65AD61A3" wp14:editId="47878E3E">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C624499" w14:textId="77777777" w:rsidR="00D37800" w:rsidRDefault="00D37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61A3"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14:paraId="3C624499" w14:textId="77777777" w:rsidR="00D37800" w:rsidRDefault="00D37800"/>
                  </w:txbxContent>
                </v:textbox>
                <w10:wrap type="topAndBottom"/>
              </v:shape>
            </w:pict>
          </mc:Fallback>
        </mc:AlternateContent>
      </w:r>
    </w:p>
    <w:p w14:paraId="5D94B4A9" w14:textId="77777777" w:rsidR="00BF6B07" w:rsidRPr="003560BD" w:rsidRDefault="00BF6B07">
      <w:pPr>
        <w:rPr>
          <w:rFonts w:ascii="Arial" w:hAnsi="Arial" w:cs="Arial"/>
          <w:sz w:val="22"/>
          <w:szCs w:val="22"/>
        </w:rPr>
      </w:pPr>
    </w:p>
    <w:p w14:paraId="2CE394FB" w14:textId="77777777" w:rsidR="00BF6B07" w:rsidRPr="003560BD" w:rsidRDefault="00BF6B07">
      <w:pPr>
        <w:rPr>
          <w:rFonts w:ascii="Arial" w:hAnsi="Arial" w:cs="Arial"/>
          <w:sz w:val="22"/>
          <w:szCs w:val="22"/>
        </w:rPr>
      </w:pPr>
    </w:p>
    <w:p w14:paraId="31D73601" w14:textId="791C4403"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883216">
        <w:rPr>
          <w:rFonts w:ascii="Arial" w:hAnsi="Arial" w:cs="Arial"/>
          <w:b/>
          <w:bCs/>
          <w:sz w:val="22"/>
          <w:szCs w:val="22"/>
        </w:rPr>
        <w:fldChar w:fldCharType="begin"/>
      </w:r>
      <w:r w:rsidRPr="00883216">
        <w:rPr>
          <w:rFonts w:ascii="Arial" w:hAnsi="Arial" w:cs="Arial"/>
          <w:b/>
          <w:bCs/>
          <w:sz w:val="22"/>
          <w:szCs w:val="22"/>
        </w:rPr>
        <w:instrText xml:space="preserve"> REF Subcontractor  \* CHARFORMAT</w:instrText>
      </w:r>
      <w:r w:rsidR="0043639F" w:rsidRPr="00883216">
        <w:rPr>
          <w:rFonts w:ascii="Arial" w:hAnsi="Arial" w:cs="Arial"/>
          <w:b/>
          <w:bCs/>
          <w:sz w:val="22"/>
          <w:szCs w:val="22"/>
        </w:rPr>
        <w:instrText xml:space="preserve"> </w:instrText>
      </w:r>
      <w:r w:rsidR="00774B6E" w:rsidRPr="00883216">
        <w:rPr>
          <w:rFonts w:ascii="Arial" w:hAnsi="Arial" w:cs="Arial"/>
          <w:b/>
          <w:bCs/>
          <w:sz w:val="22"/>
          <w:szCs w:val="22"/>
        </w:rPr>
        <w:instrText xml:space="preserve"> \* MERGEFORMAT </w:instrText>
      </w:r>
      <w:r w:rsidRPr="00883216">
        <w:rPr>
          <w:rFonts w:ascii="Arial" w:hAnsi="Arial" w:cs="Arial"/>
          <w:b/>
          <w:bCs/>
          <w:sz w:val="22"/>
          <w:szCs w:val="22"/>
        </w:rPr>
        <w:fldChar w:fldCharType="separate"/>
      </w:r>
      <w:r w:rsidR="00974D97" w:rsidRPr="00974D97">
        <w:rPr>
          <w:rFonts w:ascii="Arial" w:hAnsi="Arial" w:cs="Arial"/>
          <w:b/>
          <w:sz w:val="22"/>
          <w:szCs w:val="22"/>
        </w:rPr>
        <w:t>three (3)</w:t>
      </w:r>
      <w:r w:rsidRPr="00883216">
        <w:rPr>
          <w:rFonts w:ascii="Arial" w:hAnsi="Arial" w:cs="Arial"/>
          <w:b/>
          <w:bCs/>
          <w:sz w:val="22"/>
          <w:szCs w:val="22"/>
        </w:rPr>
        <w:fldChar w:fldCharType="end"/>
      </w:r>
      <w:r w:rsidRPr="00883216">
        <w:rPr>
          <w:rFonts w:ascii="Arial" w:hAnsi="Arial" w:cs="Arial"/>
          <w:b/>
          <w:bCs/>
          <w:sz w:val="22"/>
          <w:szCs w:val="22"/>
        </w:rPr>
        <w:t xml:space="preserve"> Reference</w:t>
      </w:r>
      <w:r w:rsidRPr="003560BD">
        <w:rPr>
          <w:rFonts w:ascii="Arial" w:hAnsi="Arial" w:cs="Arial"/>
          <w:b/>
          <w:bCs/>
          <w:sz w:val="22"/>
          <w:szCs w:val="22"/>
        </w:rPr>
        <w:t xml:space="preserve"> Forms for each Subcontractor.</w:t>
      </w:r>
    </w:p>
    <w:p w14:paraId="283F8F85" w14:textId="77777777" w:rsidR="00BF6B07" w:rsidRPr="003560BD" w:rsidRDefault="00BF6B07" w:rsidP="00BF6B07">
      <w:pPr>
        <w:jc w:val="both"/>
        <w:rPr>
          <w:rFonts w:ascii="Arial" w:hAnsi="Arial" w:cs="Arial"/>
          <w:sz w:val="22"/>
          <w:szCs w:val="22"/>
        </w:rPr>
      </w:pPr>
    </w:p>
    <w:p w14:paraId="29719BE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0677152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1728AE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42467ED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57C617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2FB49D0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3EF9CEBE" w14:textId="77777777" w:rsidR="00BF6B07" w:rsidRPr="003560BD" w:rsidRDefault="00765C4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14:anchorId="3668CD2C" wp14:editId="6D93D2FE">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8498CAC" w14:textId="77777777" w:rsidR="00D37800" w:rsidRDefault="00D37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CD2C"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14:paraId="78498CAC" w14:textId="77777777" w:rsidR="00D37800" w:rsidRDefault="00D37800"/>
                  </w:txbxContent>
                </v:textbox>
                <w10:wrap type="topAndBottom"/>
              </v:shape>
            </w:pict>
          </mc:Fallback>
        </mc:AlternateContent>
      </w:r>
    </w:p>
    <w:p w14:paraId="107D32C2" w14:textId="77777777" w:rsidR="00BF6B07" w:rsidRPr="003560BD" w:rsidRDefault="00BF6B07">
      <w:pPr>
        <w:rPr>
          <w:rFonts w:ascii="Arial" w:hAnsi="Arial" w:cs="Arial"/>
          <w:sz w:val="22"/>
          <w:szCs w:val="22"/>
        </w:rPr>
      </w:pPr>
    </w:p>
    <w:p w14:paraId="2E10E6E3"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4" w:name="_Toc49239775"/>
    </w:p>
    <w:p w14:paraId="597664F6" w14:textId="77777777" w:rsidR="00BF6B07" w:rsidRPr="003560BD" w:rsidRDefault="00BF6B07">
      <w:pPr>
        <w:pStyle w:val="Heading1"/>
        <w:rPr>
          <w:rFonts w:ascii="Arial" w:hAnsi="Arial" w:cs="Arial"/>
          <w:sz w:val="22"/>
          <w:szCs w:val="22"/>
        </w:rPr>
      </w:pPr>
      <w:bookmarkStart w:id="145" w:name="_Toc483995380"/>
      <w:r w:rsidRPr="003560BD">
        <w:rPr>
          <w:rFonts w:ascii="Arial" w:hAnsi="Arial" w:cs="Arial"/>
          <w:sz w:val="22"/>
          <w:szCs w:val="22"/>
        </w:rPr>
        <w:lastRenderedPageBreak/>
        <w:t>EXHIBIT A</w:t>
      </w:r>
      <w:bookmarkEnd w:id="144"/>
      <w:bookmarkEnd w:id="145"/>
    </w:p>
    <w:p w14:paraId="2E0C0AAF" w14:textId="77777777" w:rsidR="00BF6B07" w:rsidRPr="003560BD" w:rsidRDefault="00BF6B07">
      <w:pPr>
        <w:pStyle w:val="Heading2"/>
        <w:rPr>
          <w:rFonts w:ascii="Arial" w:hAnsi="Arial" w:cs="Arial"/>
          <w:sz w:val="22"/>
          <w:szCs w:val="22"/>
        </w:rPr>
      </w:pPr>
      <w:bookmarkStart w:id="146" w:name="_Toc483995381"/>
      <w:r w:rsidRPr="003560BD">
        <w:rPr>
          <w:rFonts w:ascii="Arial" w:hAnsi="Arial" w:cs="Arial"/>
          <w:sz w:val="22"/>
          <w:szCs w:val="22"/>
        </w:rPr>
        <w:t>STANDARD CONTRACT</w:t>
      </w:r>
      <w:bookmarkEnd w:id="146"/>
    </w:p>
    <w:p w14:paraId="1F02A2D5"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432D9541" w14:textId="77777777" w:rsidR="00BF6B07" w:rsidRPr="003560BD" w:rsidRDefault="00BF6B07" w:rsidP="00BF6B07">
      <w:pPr>
        <w:jc w:val="both"/>
        <w:rPr>
          <w:rFonts w:ascii="Arial" w:hAnsi="Arial" w:cs="Arial"/>
          <w:sz w:val="22"/>
          <w:szCs w:val="22"/>
        </w:rPr>
      </w:pPr>
    </w:p>
    <w:p w14:paraId="46C3AA3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5B65E462" w14:textId="77777777" w:rsidR="00BF6B07" w:rsidRPr="003560BD" w:rsidRDefault="00BF6B07" w:rsidP="00BF6B07">
      <w:pPr>
        <w:jc w:val="both"/>
        <w:rPr>
          <w:rFonts w:ascii="Arial" w:hAnsi="Arial" w:cs="Arial"/>
          <w:sz w:val="22"/>
          <w:szCs w:val="22"/>
        </w:rPr>
      </w:pPr>
    </w:p>
    <w:p w14:paraId="6EF76CB9" w14:textId="77777777" w:rsidR="00D93BCF" w:rsidRDefault="00D93BCF">
      <w:pPr>
        <w:rPr>
          <w:rFonts w:ascii="Arial" w:hAnsi="Arial" w:cs="Arial"/>
          <w:sz w:val="22"/>
          <w:szCs w:val="22"/>
        </w:rPr>
      </w:pPr>
    </w:p>
    <w:p w14:paraId="2512EF58" w14:textId="77777777" w:rsidR="00EA48C9" w:rsidRPr="00EA48C9" w:rsidRDefault="00EA48C9" w:rsidP="00EA48C9">
      <w:pPr>
        <w:jc w:val="center"/>
        <w:rPr>
          <w:rFonts w:ascii="Arial" w:hAnsi="Arial" w:cs="Arial"/>
          <w:b/>
          <w:sz w:val="22"/>
          <w:szCs w:val="22"/>
        </w:rPr>
      </w:pPr>
      <w:r w:rsidRPr="00EA48C9">
        <w:rPr>
          <w:rFonts w:ascii="Arial" w:hAnsi="Arial" w:cs="Arial"/>
          <w:b/>
          <w:sz w:val="22"/>
          <w:szCs w:val="22"/>
        </w:rPr>
        <w:t>PROJECT NUMBER 42752</w:t>
      </w:r>
    </w:p>
    <w:p w14:paraId="6274B971" w14:textId="77777777" w:rsidR="00EA48C9" w:rsidRPr="00EA48C9" w:rsidRDefault="00EA48C9" w:rsidP="00EA48C9">
      <w:pPr>
        <w:jc w:val="center"/>
        <w:rPr>
          <w:rFonts w:ascii="Arial" w:hAnsi="Arial" w:cs="Arial"/>
          <w:b/>
          <w:sz w:val="22"/>
          <w:szCs w:val="22"/>
        </w:rPr>
      </w:pPr>
      <w:r w:rsidRPr="00EA48C9">
        <w:rPr>
          <w:rFonts w:ascii="Arial" w:hAnsi="Arial" w:cs="Arial"/>
          <w:b/>
          <w:sz w:val="22"/>
          <w:szCs w:val="22"/>
        </w:rPr>
        <w:t>SOFTWARE LICENSE AND APPLICATION SERVICE PROVIDER AGREEMENT</w:t>
      </w:r>
    </w:p>
    <w:p w14:paraId="32FAFFEA" w14:textId="77777777" w:rsidR="00EA48C9" w:rsidRPr="00EA48C9" w:rsidRDefault="00EA48C9" w:rsidP="00EA48C9">
      <w:pPr>
        <w:jc w:val="center"/>
        <w:rPr>
          <w:rFonts w:ascii="Arial" w:hAnsi="Arial" w:cs="Arial"/>
          <w:b/>
          <w:sz w:val="22"/>
          <w:szCs w:val="22"/>
        </w:rPr>
      </w:pPr>
      <w:r w:rsidRPr="00EA48C9">
        <w:rPr>
          <w:rFonts w:ascii="Arial" w:hAnsi="Arial" w:cs="Arial"/>
          <w:b/>
          <w:sz w:val="22"/>
          <w:szCs w:val="22"/>
        </w:rPr>
        <w:t>BETWEEN</w:t>
      </w:r>
    </w:p>
    <w:p w14:paraId="62388202" w14:textId="77777777" w:rsidR="00EA48C9" w:rsidRPr="00EA48C9" w:rsidRDefault="00EA48C9" w:rsidP="00EA48C9">
      <w:pPr>
        <w:jc w:val="center"/>
        <w:rPr>
          <w:rFonts w:ascii="Arial" w:hAnsi="Arial" w:cs="Arial"/>
          <w:b/>
          <w:sz w:val="22"/>
          <w:szCs w:val="22"/>
        </w:rPr>
      </w:pPr>
      <w:bookmarkStart w:id="147" w:name="vendorname"/>
      <w:bookmarkEnd w:id="147"/>
      <w:r w:rsidRPr="00EA48C9">
        <w:rPr>
          <w:rFonts w:ascii="Arial" w:hAnsi="Arial" w:cs="Arial"/>
          <w:b/>
          <w:sz w:val="22"/>
          <w:szCs w:val="22"/>
          <w:highlight w:val="yellow"/>
        </w:rPr>
        <w:t>INSERT VENDOR NAME</w:t>
      </w:r>
    </w:p>
    <w:p w14:paraId="2CE063F0" w14:textId="77777777" w:rsidR="00EA48C9" w:rsidRPr="00EA48C9" w:rsidRDefault="00EA48C9" w:rsidP="00EA48C9">
      <w:pPr>
        <w:jc w:val="center"/>
        <w:rPr>
          <w:rFonts w:ascii="Arial" w:hAnsi="Arial" w:cs="Arial"/>
          <w:b/>
          <w:sz w:val="22"/>
          <w:szCs w:val="22"/>
        </w:rPr>
      </w:pPr>
      <w:r w:rsidRPr="00EA48C9">
        <w:rPr>
          <w:rFonts w:ascii="Arial" w:hAnsi="Arial" w:cs="Arial"/>
          <w:b/>
          <w:sz w:val="22"/>
          <w:szCs w:val="22"/>
        </w:rPr>
        <w:t>AND</w:t>
      </w:r>
    </w:p>
    <w:p w14:paraId="3766C687" w14:textId="77777777" w:rsidR="00EA48C9" w:rsidRPr="00EA48C9" w:rsidRDefault="00EA48C9" w:rsidP="00EA48C9">
      <w:pPr>
        <w:jc w:val="center"/>
        <w:rPr>
          <w:rFonts w:ascii="Arial" w:hAnsi="Arial" w:cs="Arial"/>
          <w:b/>
          <w:sz w:val="22"/>
          <w:szCs w:val="22"/>
        </w:rPr>
      </w:pPr>
      <w:r w:rsidRPr="00EA48C9">
        <w:rPr>
          <w:rFonts w:ascii="Arial" w:hAnsi="Arial" w:cs="Arial"/>
          <w:b/>
          <w:sz w:val="22"/>
          <w:szCs w:val="22"/>
        </w:rPr>
        <w:t>MISSISSIPPI DEPARTMENT OF INFORMATION TECHNOLOGY SERVICES</w:t>
      </w:r>
    </w:p>
    <w:p w14:paraId="7CDB08CC" w14:textId="77777777" w:rsidR="00EA48C9" w:rsidRPr="00EA48C9" w:rsidRDefault="00EA48C9" w:rsidP="00EA48C9">
      <w:pPr>
        <w:jc w:val="center"/>
        <w:rPr>
          <w:rFonts w:ascii="Arial" w:hAnsi="Arial" w:cs="Arial"/>
          <w:b/>
          <w:sz w:val="22"/>
          <w:szCs w:val="22"/>
        </w:rPr>
      </w:pPr>
      <w:r w:rsidRPr="00EA48C9">
        <w:rPr>
          <w:rFonts w:ascii="Arial" w:hAnsi="Arial" w:cs="Arial"/>
          <w:b/>
          <w:sz w:val="22"/>
          <w:szCs w:val="22"/>
        </w:rPr>
        <w:t>AS CONTRACTING AGENT FOR THE</w:t>
      </w:r>
    </w:p>
    <w:p w14:paraId="79ED7F8E" w14:textId="77777777" w:rsidR="00EA48C9" w:rsidRPr="00EA48C9" w:rsidRDefault="00EA48C9" w:rsidP="00EA48C9">
      <w:pPr>
        <w:jc w:val="center"/>
        <w:rPr>
          <w:rFonts w:ascii="Arial" w:hAnsi="Arial" w:cs="Arial"/>
          <w:b/>
          <w:sz w:val="22"/>
          <w:szCs w:val="22"/>
        </w:rPr>
      </w:pPr>
      <w:bookmarkStart w:id="148" w:name="agencyname"/>
      <w:bookmarkEnd w:id="148"/>
      <w:r w:rsidRPr="00EA48C9">
        <w:rPr>
          <w:rFonts w:ascii="Arial" w:hAnsi="Arial" w:cs="Arial"/>
          <w:b/>
          <w:sz w:val="22"/>
          <w:szCs w:val="22"/>
        </w:rPr>
        <w:t>MISSISSIPPI DEPARTMENT OF WILDLIFE, FISHERIES, AND PARKS</w:t>
      </w:r>
    </w:p>
    <w:p w14:paraId="274357C2" w14:textId="77777777" w:rsidR="00EA48C9" w:rsidRPr="00EA48C9" w:rsidRDefault="00EA48C9" w:rsidP="00EA48C9">
      <w:pPr>
        <w:jc w:val="both"/>
        <w:rPr>
          <w:rFonts w:ascii="Arial" w:hAnsi="Arial" w:cs="Arial"/>
          <w:sz w:val="22"/>
          <w:szCs w:val="22"/>
        </w:rPr>
      </w:pPr>
    </w:p>
    <w:p w14:paraId="5D8A79FA"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This Software License and Application Service Provider Agreement (hereinafter referred to as “Agreement”) is entered into by and between, </w:t>
      </w:r>
      <w:bookmarkStart w:id="149" w:name="vendorname1"/>
      <w:bookmarkEnd w:id="149"/>
      <w:r w:rsidRPr="00EA48C9">
        <w:rPr>
          <w:rFonts w:ascii="Arial" w:hAnsi="Arial" w:cs="Arial"/>
          <w:sz w:val="22"/>
          <w:szCs w:val="22"/>
          <w:highlight w:val="yellow"/>
        </w:rPr>
        <w:t>INSERT VENDOR NAME</w:t>
      </w:r>
      <w:r w:rsidRPr="00EA48C9">
        <w:rPr>
          <w:rFonts w:ascii="Arial" w:hAnsi="Arial" w:cs="Arial"/>
          <w:sz w:val="22"/>
          <w:szCs w:val="22"/>
        </w:rPr>
        <w:t xml:space="preserve">, a </w:t>
      </w:r>
      <w:bookmarkStart w:id="150" w:name="stateofincorp"/>
      <w:bookmarkEnd w:id="150"/>
      <w:r w:rsidRPr="00EA48C9">
        <w:rPr>
          <w:rFonts w:ascii="Arial" w:hAnsi="Arial" w:cs="Arial"/>
          <w:sz w:val="22"/>
          <w:szCs w:val="22"/>
          <w:highlight w:val="yellow"/>
        </w:rPr>
        <w:t>STATE OF INCORPORATION</w:t>
      </w:r>
      <w:r w:rsidRPr="00EA48C9">
        <w:rPr>
          <w:rFonts w:ascii="Arial" w:hAnsi="Arial" w:cs="Arial"/>
          <w:sz w:val="22"/>
          <w:szCs w:val="22"/>
        </w:rPr>
        <w:t xml:space="preserve"> corporation having its principal place of business at </w:t>
      </w:r>
      <w:bookmarkStart w:id="151" w:name="vendorstreet"/>
      <w:bookmarkEnd w:id="151"/>
      <w:r w:rsidRPr="00EA48C9">
        <w:rPr>
          <w:rFonts w:ascii="Arial" w:hAnsi="Arial" w:cs="Arial"/>
          <w:sz w:val="22"/>
          <w:szCs w:val="22"/>
          <w:highlight w:val="yellow"/>
        </w:rPr>
        <w:t>VENDOR ADDRESS</w:t>
      </w:r>
      <w:bookmarkStart w:id="152" w:name="vendorzip"/>
      <w:bookmarkEnd w:id="152"/>
      <w:r w:rsidRPr="00EA48C9">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3" w:name="agencyname1"/>
      <w:bookmarkEnd w:id="153"/>
      <w:r w:rsidRPr="00EA48C9">
        <w:rPr>
          <w:rFonts w:ascii="Arial" w:hAnsi="Arial" w:cs="Arial"/>
          <w:sz w:val="22"/>
          <w:szCs w:val="22"/>
        </w:rPr>
        <w:t xml:space="preserve">Mississippi Department of Wildlife, Fisheries, and Parks, located at </w:t>
      </w:r>
      <w:bookmarkStart w:id="154" w:name="agencystreet"/>
      <w:bookmarkEnd w:id="154"/>
      <w:r w:rsidRPr="00EA48C9">
        <w:rPr>
          <w:rFonts w:ascii="Arial" w:hAnsi="Arial" w:cs="Arial"/>
          <w:sz w:val="22"/>
          <w:szCs w:val="22"/>
        </w:rPr>
        <w:t xml:space="preserve">1505 Eastover Drive, </w:t>
      </w:r>
      <w:bookmarkStart w:id="155" w:name="agencycity"/>
      <w:bookmarkEnd w:id="155"/>
      <w:r w:rsidRPr="00EA48C9">
        <w:rPr>
          <w:rFonts w:ascii="Arial" w:hAnsi="Arial" w:cs="Arial"/>
          <w:sz w:val="22"/>
          <w:szCs w:val="22"/>
        </w:rPr>
        <w:t xml:space="preserve">Jackson, </w:t>
      </w:r>
      <w:bookmarkStart w:id="156" w:name="agencystate"/>
      <w:bookmarkEnd w:id="156"/>
      <w:r w:rsidRPr="00EA48C9">
        <w:rPr>
          <w:rFonts w:ascii="Arial" w:hAnsi="Arial" w:cs="Arial"/>
          <w:sz w:val="22"/>
          <w:szCs w:val="22"/>
        </w:rPr>
        <w:t xml:space="preserve">Mississippi </w:t>
      </w:r>
      <w:bookmarkStart w:id="157" w:name="agencyzip"/>
      <w:bookmarkEnd w:id="157"/>
      <w:r w:rsidRPr="00EA48C9">
        <w:rPr>
          <w:rFonts w:ascii="Arial" w:hAnsi="Arial" w:cs="Arial"/>
          <w:sz w:val="22"/>
          <w:szCs w:val="22"/>
        </w:rPr>
        <w:t>39211 (hereinafter referred to as “Licensee” and/or “</w:t>
      </w:r>
      <w:bookmarkStart w:id="158" w:name="agencycode"/>
      <w:bookmarkEnd w:id="158"/>
      <w:r w:rsidRPr="00EA48C9">
        <w:rPr>
          <w:rFonts w:ascii="Arial" w:hAnsi="Arial" w:cs="Arial"/>
          <w:sz w:val="22"/>
          <w:szCs w:val="22"/>
        </w:rPr>
        <w:t xml:space="preserve">MDWFP”). ITS and </w:t>
      </w:r>
      <w:bookmarkStart w:id="159" w:name="agencycode1"/>
      <w:bookmarkEnd w:id="159"/>
      <w:r w:rsidRPr="00EA48C9">
        <w:rPr>
          <w:rFonts w:ascii="Arial" w:hAnsi="Arial" w:cs="Arial"/>
          <w:sz w:val="22"/>
          <w:szCs w:val="22"/>
        </w:rPr>
        <w:t>MDWFP are sometimes collectively referred to herein as “State.”</w:t>
      </w:r>
    </w:p>
    <w:p w14:paraId="2476571F" w14:textId="77777777" w:rsidR="00EA48C9" w:rsidRPr="00EA48C9" w:rsidRDefault="00EA48C9" w:rsidP="00EA48C9">
      <w:pPr>
        <w:jc w:val="both"/>
        <w:rPr>
          <w:rFonts w:ascii="Arial" w:hAnsi="Arial" w:cs="Arial"/>
          <w:sz w:val="22"/>
          <w:szCs w:val="22"/>
        </w:rPr>
      </w:pPr>
    </w:p>
    <w:p w14:paraId="6AF8F7E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 xml:space="preserve">WHEREAS, </w:t>
      </w:r>
      <w:bookmarkStart w:id="160" w:name="agencycode2"/>
      <w:bookmarkEnd w:id="160"/>
      <w:r w:rsidRPr="00EA48C9">
        <w:rPr>
          <w:rFonts w:ascii="Arial" w:hAnsi="Arial" w:cs="Arial"/>
          <w:sz w:val="22"/>
          <w:szCs w:val="22"/>
        </w:rPr>
        <w:t xml:space="preserve">MDWFP, pursuant to </w:t>
      </w:r>
      <w:bookmarkStart w:id="161" w:name="locmonth"/>
      <w:bookmarkStart w:id="162" w:name="locyear"/>
      <w:bookmarkEnd w:id="161"/>
      <w:bookmarkEnd w:id="162"/>
      <w:r w:rsidRPr="00EA48C9">
        <w:rPr>
          <w:rFonts w:ascii="Arial" w:hAnsi="Arial" w:cs="Arial"/>
          <w:sz w:val="22"/>
          <w:szCs w:val="22"/>
        </w:rPr>
        <w:t xml:space="preserve">Request for Proposals (“RFP”) No. </w:t>
      </w:r>
      <w:bookmarkStart w:id="163" w:name="rfpnumber"/>
      <w:bookmarkEnd w:id="163"/>
      <w:r w:rsidR="00460508">
        <w:rPr>
          <w:rFonts w:ascii="Arial" w:hAnsi="Arial" w:cs="Arial"/>
          <w:sz w:val="22"/>
          <w:szCs w:val="22"/>
        </w:rPr>
        <w:t>3990</w:t>
      </w:r>
      <w:r w:rsidRPr="00EA48C9">
        <w:rPr>
          <w:rFonts w:ascii="Arial" w:hAnsi="Arial" w:cs="Arial"/>
          <w:sz w:val="22"/>
          <w:szCs w:val="22"/>
        </w:rPr>
        <w:t xml:space="preserve"> requested proposals for the services of a contractor to host and maintain an Application Service Provider (“ASP”) solution for a </w:t>
      </w:r>
      <w:bookmarkStart w:id="164" w:name="descriptionofsystem"/>
      <w:bookmarkEnd w:id="164"/>
      <w:r w:rsidRPr="00EA48C9">
        <w:rPr>
          <w:rFonts w:ascii="Arial" w:hAnsi="Arial" w:cs="Arial"/>
          <w:sz w:val="22"/>
          <w:szCs w:val="22"/>
        </w:rPr>
        <w:t>Golf Management System; and</w:t>
      </w:r>
    </w:p>
    <w:p w14:paraId="6C4C6416" w14:textId="77777777" w:rsidR="00EA48C9" w:rsidRPr="00EA48C9" w:rsidRDefault="00EA48C9" w:rsidP="00EA48C9">
      <w:pPr>
        <w:jc w:val="both"/>
        <w:rPr>
          <w:rFonts w:ascii="Arial" w:hAnsi="Arial" w:cs="Arial"/>
          <w:sz w:val="22"/>
          <w:szCs w:val="22"/>
        </w:rPr>
      </w:pPr>
    </w:p>
    <w:p w14:paraId="49A89F4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WHEREAS</w:t>
      </w:r>
      <w:r w:rsidRPr="00EA48C9">
        <w:rPr>
          <w:rFonts w:ascii="Arial" w:hAnsi="Arial" w:cs="Arial"/>
          <w:sz w:val="22"/>
          <w:szCs w:val="22"/>
        </w:rPr>
        <w:t>, Licensor was the successful proposer in an open, fair and competitive procurement process to provide the software and services described herein;</w:t>
      </w:r>
    </w:p>
    <w:p w14:paraId="64F3F176" w14:textId="77777777" w:rsidR="00EA48C9" w:rsidRPr="00EA48C9" w:rsidRDefault="00EA48C9" w:rsidP="00EA48C9">
      <w:pPr>
        <w:jc w:val="both"/>
        <w:rPr>
          <w:rFonts w:ascii="Arial" w:hAnsi="Arial" w:cs="Arial"/>
          <w:sz w:val="22"/>
          <w:szCs w:val="22"/>
        </w:rPr>
      </w:pPr>
    </w:p>
    <w:p w14:paraId="7D832750"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NOW THEREFORE</w:t>
      </w:r>
      <w:r w:rsidRPr="00EA48C9">
        <w:rPr>
          <w:rFonts w:ascii="Arial" w:hAnsi="Arial" w:cs="Arial"/>
          <w:sz w:val="22"/>
          <w:szCs w:val="22"/>
        </w:rPr>
        <w:t>, in consideration of the mutual understandings, promises and agreements set forth, the parties hereto agree as follows:</w:t>
      </w:r>
    </w:p>
    <w:p w14:paraId="2B881409" w14:textId="77777777" w:rsidR="00EA48C9" w:rsidRPr="00EA48C9" w:rsidRDefault="00EA48C9" w:rsidP="00EA48C9">
      <w:pPr>
        <w:jc w:val="both"/>
        <w:rPr>
          <w:rFonts w:ascii="Arial" w:hAnsi="Arial" w:cs="Arial"/>
          <w:sz w:val="22"/>
          <w:szCs w:val="22"/>
        </w:rPr>
      </w:pPr>
    </w:p>
    <w:p w14:paraId="1E756D5F"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w:t>
      </w:r>
      <w:r w:rsidRPr="00EA48C9">
        <w:rPr>
          <w:rFonts w:ascii="Arial" w:hAnsi="Arial" w:cs="Arial"/>
          <w:b/>
          <w:sz w:val="22"/>
          <w:szCs w:val="22"/>
        </w:rPr>
        <w:tab/>
        <w:t>DEFINITIONS</w:t>
      </w:r>
    </w:p>
    <w:p w14:paraId="19F18FA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w:t>
      </w:r>
      <w:r w:rsidRPr="00EA48C9">
        <w:rPr>
          <w:rFonts w:ascii="Arial" w:hAnsi="Arial" w:cs="Arial"/>
          <w:sz w:val="22"/>
          <w:szCs w:val="22"/>
        </w:rPr>
        <w:tab/>
        <w:t xml:space="preserve">“Active User” means </w:t>
      </w:r>
      <w:bookmarkStart w:id="165" w:name="agencycode3"/>
      <w:bookmarkEnd w:id="165"/>
      <w:r w:rsidRPr="00EA48C9">
        <w:rPr>
          <w:rFonts w:ascii="Arial" w:hAnsi="Arial" w:cs="Arial"/>
          <w:sz w:val="22"/>
          <w:szCs w:val="22"/>
        </w:rPr>
        <w:t xml:space="preserve">MDWFP employees, and </w:t>
      </w:r>
      <w:bookmarkStart w:id="166" w:name="descriptionofusers"/>
      <w:bookmarkEnd w:id="166"/>
      <w:r w:rsidRPr="00EA48C9">
        <w:rPr>
          <w:rFonts w:ascii="Arial" w:hAnsi="Arial" w:cs="Arial"/>
          <w:sz w:val="22"/>
          <w:szCs w:val="22"/>
        </w:rPr>
        <w:t>MDWFP customers actively participating on the system in any given month of operation, who shall be bound to the terms and conditions of this Agreement. Licensor does not impose a limit on the number of Active Users accessing or registering to use the system.</w:t>
      </w:r>
    </w:p>
    <w:p w14:paraId="6320F812" w14:textId="77777777" w:rsidR="00EA48C9" w:rsidRPr="00EA48C9" w:rsidRDefault="00EA48C9" w:rsidP="00EA48C9">
      <w:pPr>
        <w:jc w:val="both"/>
        <w:rPr>
          <w:rFonts w:ascii="Arial" w:hAnsi="Arial" w:cs="Arial"/>
          <w:sz w:val="22"/>
          <w:szCs w:val="22"/>
        </w:rPr>
      </w:pPr>
    </w:p>
    <w:p w14:paraId="02D9B4CB"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lastRenderedPageBreak/>
        <w:t>1.2</w:t>
      </w:r>
      <w:r w:rsidRPr="00EA48C9">
        <w:rPr>
          <w:rFonts w:ascii="Arial" w:hAnsi="Arial" w:cs="Arial"/>
          <w:sz w:val="22"/>
          <w:szCs w:val="22"/>
        </w:rPr>
        <w:tab/>
        <w:t xml:space="preserve">“Available Date” means the date upon which Licensor notifies </w:t>
      </w:r>
      <w:bookmarkStart w:id="167" w:name="agencycode4"/>
      <w:bookmarkEnd w:id="167"/>
      <w:r w:rsidRPr="00EA48C9">
        <w:rPr>
          <w:rFonts w:ascii="Arial" w:hAnsi="Arial" w:cs="Arial"/>
          <w:sz w:val="22"/>
          <w:szCs w:val="22"/>
        </w:rPr>
        <w:t xml:space="preserve">MDWFP that the Software may be accessed on the Licensor’s ASP server and </w:t>
      </w:r>
      <w:bookmarkStart w:id="168" w:name="agencycode5"/>
      <w:bookmarkEnd w:id="168"/>
      <w:r w:rsidRPr="00EA48C9">
        <w:rPr>
          <w:rFonts w:ascii="Arial" w:hAnsi="Arial" w:cs="Arial"/>
          <w:sz w:val="22"/>
          <w:szCs w:val="22"/>
        </w:rPr>
        <w:t>MDWFP may begin acceptance testing.</w:t>
      </w:r>
    </w:p>
    <w:p w14:paraId="74F97296" w14:textId="77777777" w:rsidR="00EA48C9" w:rsidRPr="00EA48C9" w:rsidRDefault="00EA48C9" w:rsidP="00EA48C9">
      <w:pPr>
        <w:jc w:val="both"/>
        <w:rPr>
          <w:rFonts w:ascii="Arial" w:hAnsi="Arial" w:cs="Arial"/>
          <w:sz w:val="22"/>
          <w:szCs w:val="22"/>
        </w:rPr>
      </w:pPr>
    </w:p>
    <w:p w14:paraId="20ADD018"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1.3</w:t>
      </w:r>
      <w:r w:rsidRPr="00EA48C9">
        <w:rPr>
          <w:rFonts w:ascii="Arial" w:hAnsi="Arial" w:cs="Arial"/>
          <w:sz w:val="22"/>
          <w:szCs w:val="22"/>
        </w:rPr>
        <w:tab/>
        <w:t>“Content” means any content provided by or through Active Users for use with the Software.</w:t>
      </w:r>
    </w:p>
    <w:p w14:paraId="4714ECFA" w14:textId="77777777" w:rsidR="00EA48C9" w:rsidRPr="00EA48C9" w:rsidRDefault="00EA48C9" w:rsidP="00EA48C9">
      <w:pPr>
        <w:jc w:val="both"/>
        <w:rPr>
          <w:rFonts w:ascii="Arial" w:hAnsi="Arial" w:cs="Arial"/>
          <w:sz w:val="22"/>
          <w:szCs w:val="22"/>
        </w:rPr>
      </w:pPr>
    </w:p>
    <w:p w14:paraId="08D41EDF"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1.4</w:t>
      </w:r>
      <w:r w:rsidRPr="00EA48C9">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4CB101A4" w14:textId="77777777" w:rsidR="00EA48C9" w:rsidRPr="00EA48C9" w:rsidRDefault="00EA48C9" w:rsidP="00EA48C9">
      <w:pPr>
        <w:jc w:val="both"/>
        <w:rPr>
          <w:rFonts w:ascii="Arial" w:hAnsi="Arial" w:cs="Arial"/>
          <w:sz w:val="22"/>
          <w:szCs w:val="22"/>
        </w:rPr>
      </w:pPr>
    </w:p>
    <w:p w14:paraId="3D98C5FF"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1.5</w:t>
      </w:r>
      <w:r w:rsidRPr="00EA48C9">
        <w:rPr>
          <w:rFonts w:ascii="Arial" w:hAnsi="Arial" w:cs="Arial"/>
          <w:sz w:val="22"/>
          <w:szCs w:val="22"/>
        </w:rPr>
        <w:tab/>
        <w:t>“Enhancements” means the corrections, updates, upgrades or new versions of the Software or Documentation that Licensor may provide to Licensee under this Agreement.</w:t>
      </w:r>
    </w:p>
    <w:p w14:paraId="28F0A42D" w14:textId="77777777" w:rsidR="00EA48C9" w:rsidRPr="00EA48C9" w:rsidRDefault="00EA48C9" w:rsidP="00EA48C9">
      <w:pPr>
        <w:jc w:val="both"/>
        <w:rPr>
          <w:rFonts w:ascii="Arial" w:hAnsi="Arial" w:cs="Arial"/>
          <w:sz w:val="22"/>
          <w:szCs w:val="22"/>
        </w:rPr>
      </w:pPr>
    </w:p>
    <w:p w14:paraId="32D71256"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1.6</w:t>
      </w:r>
      <w:r w:rsidRPr="00EA48C9">
        <w:rPr>
          <w:rFonts w:ascii="Arial" w:hAnsi="Arial" w:cs="Arial"/>
          <w:sz w:val="22"/>
          <w:szCs w:val="22"/>
        </w:rPr>
        <w:tab/>
        <w:t xml:space="preserve">“Licensee” means the </w:t>
      </w:r>
      <w:bookmarkStart w:id="169" w:name="agencycode7"/>
      <w:bookmarkEnd w:id="169"/>
      <w:r w:rsidRPr="00EA48C9">
        <w:rPr>
          <w:rFonts w:ascii="Arial" w:hAnsi="Arial" w:cs="Arial"/>
          <w:sz w:val="22"/>
          <w:szCs w:val="22"/>
        </w:rPr>
        <w:t xml:space="preserve">MDWFP, its employees, </w:t>
      </w:r>
      <w:bookmarkStart w:id="170" w:name="descriptionofusers1"/>
      <w:bookmarkEnd w:id="170"/>
      <w:r w:rsidRPr="00EA48C9">
        <w:rPr>
          <w:rFonts w:ascii="Arial" w:hAnsi="Arial" w:cs="Arial"/>
          <w:sz w:val="22"/>
          <w:szCs w:val="22"/>
        </w:rPr>
        <w:t xml:space="preserve">MDWFP customers and any third party consultants or outsourcers engaged by </w:t>
      </w:r>
      <w:bookmarkStart w:id="171" w:name="agencycode8"/>
      <w:bookmarkEnd w:id="171"/>
      <w:r w:rsidRPr="00EA48C9">
        <w:rPr>
          <w:rFonts w:ascii="Arial" w:hAnsi="Arial" w:cs="Arial"/>
          <w:sz w:val="22"/>
          <w:szCs w:val="22"/>
        </w:rPr>
        <w:t>MDWFP who have a need to know and who shall be bound by the terms and conditions of this Agreement.</w:t>
      </w:r>
    </w:p>
    <w:p w14:paraId="7FE74BB9" w14:textId="77777777" w:rsidR="00EA48C9" w:rsidRPr="00EA48C9" w:rsidRDefault="00EA48C9" w:rsidP="00EA48C9">
      <w:pPr>
        <w:jc w:val="both"/>
        <w:rPr>
          <w:rFonts w:ascii="Arial" w:hAnsi="Arial" w:cs="Arial"/>
          <w:sz w:val="22"/>
          <w:szCs w:val="22"/>
        </w:rPr>
      </w:pPr>
    </w:p>
    <w:p w14:paraId="6750FA48"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1.7</w:t>
      </w:r>
      <w:r w:rsidRPr="00EA48C9">
        <w:rPr>
          <w:rFonts w:ascii="Arial" w:hAnsi="Arial" w:cs="Arial"/>
          <w:sz w:val="22"/>
          <w:szCs w:val="22"/>
        </w:rPr>
        <w:tab/>
        <w:t xml:space="preserve">“Licensor” means </w:t>
      </w:r>
      <w:bookmarkStart w:id="172" w:name="vendorname3"/>
      <w:bookmarkEnd w:id="172"/>
      <w:r w:rsidRPr="00EA48C9">
        <w:rPr>
          <w:rFonts w:ascii="Arial" w:hAnsi="Arial" w:cs="Arial"/>
          <w:sz w:val="22"/>
          <w:szCs w:val="22"/>
          <w:highlight w:val="yellow"/>
        </w:rPr>
        <w:t>INSERT VENDOR NAME</w:t>
      </w:r>
      <w:r w:rsidRPr="00EA48C9">
        <w:rPr>
          <w:rFonts w:ascii="Arial" w:hAnsi="Arial" w:cs="Arial"/>
          <w:sz w:val="22"/>
          <w:szCs w:val="22"/>
        </w:rPr>
        <w:t>, and its successors and assigns.</w:t>
      </w:r>
    </w:p>
    <w:p w14:paraId="289E8296" w14:textId="77777777" w:rsidR="00EA48C9" w:rsidRPr="00EA48C9" w:rsidRDefault="00EA48C9" w:rsidP="00EA48C9">
      <w:pPr>
        <w:jc w:val="both"/>
        <w:rPr>
          <w:rFonts w:ascii="Arial" w:hAnsi="Arial" w:cs="Arial"/>
          <w:sz w:val="22"/>
          <w:szCs w:val="22"/>
        </w:rPr>
      </w:pPr>
    </w:p>
    <w:p w14:paraId="64047394"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1.8</w:t>
      </w:r>
      <w:r w:rsidRPr="00EA48C9">
        <w:rPr>
          <w:rFonts w:ascii="Arial" w:hAnsi="Arial" w:cs="Arial"/>
          <w:sz w:val="22"/>
          <w:szCs w:val="22"/>
        </w:rPr>
        <w:tab/>
        <w:t>“Products” means the Software, Documentation, Corrections, Enhancements and any copy of the Software, Documentation, Corrections, or Enhancements provided by the Licensor.</w:t>
      </w:r>
    </w:p>
    <w:p w14:paraId="19D2F2B9" w14:textId="77777777" w:rsidR="00EA48C9" w:rsidRPr="00EA48C9" w:rsidRDefault="00EA48C9" w:rsidP="00EA48C9">
      <w:pPr>
        <w:jc w:val="both"/>
        <w:rPr>
          <w:rFonts w:ascii="Arial" w:hAnsi="Arial" w:cs="Arial"/>
          <w:sz w:val="22"/>
          <w:szCs w:val="22"/>
        </w:rPr>
      </w:pPr>
    </w:p>
    <w:p w14:paraId="4CB663A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1.9</w:t>
      </w:r>
      <w:r w:rsidRPr="00EA48C9">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0C1992E0" w14:textId="77777777" w:rsidR="00EA48C9" w:rsidRPr="00EA48C9" w:rsidRDefault="00EA48C9" w:rsidP="00EA48C9">
      <w:pPr>
        <w:jc w:val="both"/>
        <w:rPr>
          <w:rFonts w:ascii="Arial" w:hAnsi="Arial" w:cs="Arial"/>
          <w:sz w:val="22"/>
          <w:szCs w:val="22"/>
        </w:rPr>
      </w:pPr>
    </w:p>
    <w:p w14:paraId="4C245E5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1.10</w:t>
      </w:r>
      <w:r w:rsidRPr="00EA48C9">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3" w:name="descriptionofsystem1"/>
      <w:bookmarkEnd w:id="173"/>
      <w:r w:rsidRPr="00EA48C9">
        <w:rPr>
          <w:rFonts w:ascii="Arial" w:hAnsi="Arial" w:cs="Arial"/>
          <w:sz w:val="22"/>
          <w:szCs w:val="22"/>
        </w:rPr>
        <w:t>Golf Management System and Supported Interfaces (and any Documentation and help files within the Software), including any Enhancements provided pursuant to the maintenance and support terms identified herein.</w:t>
      </w:r>
    </w:p>
    <w:p w14:paraId="2A44D819" w14:textId="77777777" w:rsidR="00EA48C9" w:rsidRPr="00EA48C9" w:rsidRDefault="00EA48C9" w:rsidP="00EA48C9">
      <w:pPr>
        <w:jc w:val="both"/>
        <w:rPr>
          <w:rFonts w:ascii="Arial" w:hAnsi="Arial" w:cs="Arial"/>
          <w:sz w:val="22"/>
          <w:szCs w:val="22"/>
        </w:rPr>
      </w:pPr>
    </w:p>
    <w:p w14:paraId="2E230768"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1.11</w:t>
      </w:r>
      <w:r w:rsidRPr="00EA48C9">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10DFEFD5" w14:textId="77777777" w:rsidR="00EA48C9" w:rsidRPr="00EA48C9" w:rsidRDefault="00EA48C9" w:rsidP="00EA48C9">
      <w:pPr>
        <w:jc w:val="both"/>
        <w:rPr>
          <w:rFonts w:ascii="Arial" w:hAnsi="Arial" w:cs="Arial"/>
          <w:sz w:val="22"/>
          <w:szCs w:val="22"/>
        </w:rPr>
      </w:pPr>
    </w:p>
    <w:p w14:paraId="7A008A0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1.12</w:t>
      </w:r>
      <w:r w:rsidRPr="00EA48C9">
        <w:rPr>
          <w:rFonts w:ascii="Arial" w:hAnsi="Arial" w:cs="Arial"/>
          <w:sz w:val="22"/>
          <w:szCs w:val="22"/>
        </w:rPr>
        <w:tab/>
        <w:t>“Supported Interfaces” means application-based interfaces (API), network protocols, data formats, database schemas, and file formats used in the Software as described in the Documentation.</w:t>
      </w:r>
    </w:p>
    <w:p w14:paraId="01BD2676" w14:textId="77777777" w:rsidR="00EA48C9" w:rsidRPr="00EA48C9" w:rsidRDefault="00EA48C9" w:rsidP="00EA48C9">
      <w:pPr>
        <w:jc w:val="both"/>
        <w:rPr>
          <w:rFonts w:ascii="Arial" w:hAnsi="Arial" w:cs="Arial"/>
          <w:sz w:val="22"/>
          <w:szCs w:val="22"/>
        </w:rPr>
      </w:pPr>
    </w:p>
    <w:p w14:paraId="50793B95"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w:t>
      </w:r>
      <w:r w:rsidRPr="00EA48C9">
        <w:rPr>
          <w:rFonts w:ascii="Arial" w:hAnsi="Arial" w:cs="Arial"/>
          <w:b/>
          <w:sz w:val="22"/>
          <w:szCs w:val="22"/>
        </w:rPr>
        <w:tab/>
        <w:t>PERIOD OF PERFORMANCE</w:t>
      </w:r>
    </w:p>
    <w:p w14:paraId="55EF9E3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2.1</w:t>
      </w:r>
      <w:r w:rsidRPr="00EA48C9">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t>
      </w:r>
      <w:r w:rsidRPr="00EA48C9">
        <w:rPr>
          <w:rFonts w:ascii="Arial" w:hAnsi="Arial" w:cs="Arial"/>
          <w:sz w:val="22"/>
          <w:szCs w:val="22"/>
        </w:rPr>
        <w:lastRenderedPageBreak/>
        <w:t xml:space="preserve">work plan, including services during the </w:t>
      </w:r>
      <w:bookmarkStart w:id="174" w:name="numberofyears"/>
      <w:bookmarkStart w:id="175" w:name="numberofyearshosting"/>
      <w:bookmarkEnd w:id="174"/>
      <w:bookmarkEnd w:id="175"/>
      <w:r w:rsidRPr="00EA48C9">
        <w:rPr>
          <w:rFonts w:ascii="Arial" w:hAnsi="Arial" w:cs="Arial"/>
          <w:sz w:val="22"/>
          <w:szCs w:val="22"/>
        </w:rPr>
        <w:t xml:space="preserve">three (3) year hosting term. The web-based </w:t>
      </w:r>
      <w:bookmarkStart w:id="176" w:name="descriptionofsystem2"/>
      <w:bookmarkEnd w:id="176"/>
      <w:r w:rsidRPr="00EA48C9">
        <w:rPr>
          <w:rFonts w:ascii="Arial" w:hAnsi="Arial" w:cs="Arial"/>
          <w:sz w:val="22"/>
          <w:szCs w:val="22"/>
        </w:rPr>
        <w:t xml:space="preserve">Golf Management system, as customized for the State of Mississippi, must be implemented; fully functional; accepted by </w:t>
      </w:r>
      <w:bookmarkStart w:id="177" w:name="agencycode9"/>
      <w:bookmarkEnd w:id="177"/>
      <w:r w:rsidRPr="00EA48C9">
        <w:rPr>
          <w:rFonts w:ascii="Arial" w:hAnsi="Arial" w:cs="Arial"/>
          <w:sz w:val="22"/>
          <w:szCs w:val="22"/>
        </w:rPr>
        <w:t xml:space="preserve">MDWFP, and all tasks (excluding hosting) required herein, including but not limited to development of required interfaces and training, completed on or before </w:t>
      </w:r>
      <w:bookmarkStart w:id="178" w:name="completionmonth"/>
      <w:bookmarkStart w:id="179" w:name="completionyear"/>
      <w:bookmarkEnd w:id="178"/>
      <w:bookmarkEnd w:id="179"/>
      <w:r w:rsidRPr="00EA48C9">
        <w:rPr>
          <w:rFonts w:ascii="Arial" w:hAnsi="Arial" w:cs="Arial"/>
          <w:sz w:val="22"/>
          <w:szCs w:val="22"/>
        </w:rPr>
        <w:t xml:space="preserve">April 1, 2017, unless a change in this date is mutually agreed to in writing by the State and the Licensor. At the end of the </w:t>
      </w:r>
      <w:bookmarkStart w:id="180" w:name="initialtermyears"/>
      <w:bookmarkEnd w:id="180"/>
      <w:r w:rsidRPr="00EA48C9">
        <w:rPr>
          <w:rFonts w:ascii="Arial" w:hAnsi="Arial" w:cs="Arial"/>
          <w:sz w:val="22"/>
          <w:szCs w:val="22"/>
        </w:rPr>
        <w:t xml:space="preserve">three (3) year initial ASP services term, the ASP services may, upon the written agreement of the parties, be renewed under the same terms and conditions for </w:t>
      </w:r>
      <w:bookmarkStart w:id="181" w:name="numberrenewalterms"/>
      <w:bookmarkEnd w:id="181"/>
      <w:r w:rsidR="000825FA">
        <w:rPr>
          <w:rFonts w:ascii="Arial" w:hAnsi="Arial" w:cs="Arial"/>
          <w:sz w:val="22"/>
          <w:szCs w:val="22"/>
        </w:rPr>
        <w:t>additional term(s)</w:t>
      </w:r>
      <w:r w:rsidRPr="00EA48C9">
        <w:rPr>
          <w:rFonts w:ascii="Arial" w:hAnsi="Arial" w:cs="Arial"/>
          <w:sz w:val="22"/>
          <w:szCs w:val="22"/>
        </w:rPr>
        <w:t xml:space="preserve">.  One hundred and eighty (180) days prior to the expiration of the initial hosting term or any renewal hosting term of this Agreement, Licensor shall notify </w:t>
      </w:r>
      <w:bookmarkStart w:id="182" w:name="agencycode10"/>
      <w:bookmarkEnd w:id="182"/>
      <w:r w:rsidRPr="00EA48C9">
        <w:rPr>
          <w:rFonts w:ascii="Arial" w:hAnsi="Arial" w:cs="Arial"/>
          <w:sz w:val="22"/>
          <w:szCs w:val="22"/>
        </w:rPr>
        <w:t xml:space="preserve">MDWFP and ITS of the impending expiration and </w:t>
      </w:r>
      <w:bookmarkStart w:id="183" w:name="agencycode11"/>
      <w:bookmarkEnd w:id="183"/>
      <w:r w:rsidRPr="00EA48C9">
        <w:rPr>
          <w:rFonts w:ascii="Arial" w:hAnsi="Arial" w:cs="Arial"/>
          <w:sz w:val="22"/>
          <w:szCs w:val="22"/>
        </w:rPr>
        <w:t>MDWFP shall have sixty (60) days in which to notify Licensor of its intention to either renew or cancel the ASP services.</w:t>
      </w:r>
    </w:p>
    <w:p w14:paraId="64969C91" w14:textId="77777777" w:rsidR="00EA48C9" w:rsidRPr="00EA48C9" w:rsidRDefault="00EA48C9" w:rsidP="00EA48C9">
      <w:pPr>
        <w:jc w:val="both"/>
        <w:rPr>
          <w:rFonts w:ascii="Arial" w:hAnsi="Arial" w:cs="Arial"/>
          <w:sz w:val="22"/>
          <w:szCs w:val="22"/>
        </w:rPr>
      </w:pPr>
    </w:p>
    <w:p w14:paraId="0101640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2.2</w:t>
      </w:r>
      <w:r w:rsidRPr="00EA48C9">
        <w:rPr>
          <w:rFonts w:ascii="Arial" w:hAnsi="Arial" w:cs="Arial"/>
          <w:sz w:val="22"/>
          <w:szCs w:val="22"/>
        </w:rPr>
        <w:tab/>
        <w:t xml:space="preserve">This Agreement will become a binding obligation on the State only upon the issuance of a valid purchase order by </w:t>
      </w:r>
      <w:bookmarkStart w:id="184" w:name="agencycode12"/>
      <w:bookmarkEnd w:id="184"/>
      <w:r w:rsidRPr="00EA48C9">
        <w:rPr>
          <w:rFonts w:ascii="Arial" w:hAnsi="Arial" w:cs="Arial"/>
          <w:sz w:val="22"/>
          <w:szCs w:val="22"/>
        </w:rPr>
        <w:t>MDWFP following contract execution and the issuance by ITS of the CP-1 Acquisition Approval Document.</w:t>
      </w:r>
    </w:p>
    <w:p w14:paraId="2D675C53" w14:textId="77777777" w:rsidR="00EA48C9" w:rsidRPr="00EA48C9" w:rsidRDefault="00EA48C9" w:rsidP="00EA48C9">
      <w:pPr>
        <w:jc w:val="both"/>
        <w:rPr>
          <w:rFonts w:ascii="Arial" w:hAnsi="Arial" w:cs="Arial"/>
          <w:sz w:val="22"/>
          <w:szCs w:val="22"/>
        </w:rPr>
      </w:pPr>
    </w:p>
    <w:p w14:paraId="714DB8B0"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w:t>
      </w:r>
      <w:r w:rsidRPr="00EA48C9">
        <w:rPr>
          <w:rFonts w:ascii="Arial" w:hAnsi="Arial" w:cs="Arial"/>
          <w:b/>
          <w:sz w:val="22"/>
          <w:szCs w:val="22"/>
        </w:rPr>
        <w:tab/>
        <w:t>SCOPE OF SERVICES</w:t>
      </w:r>
    </w:p>
    <w:p w14:paraId="4DB329C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3.1</w:t>
      </w:r>
      <w:r w:rsidRPr="00EA48C9">
        <w:rPr>
          <w:rFonts w:ascii="Arial" w:hAnsi="Arial" w:cs="Arial"/>
          <w:sz w:val="22"/>
          <w:szCs w:val="22"/>
        </w:rPr>
        <w:tab/>
        <w:t xml:space="preserve">The Licensor agrees to provide to </w:t>
      </w:r>
      <w:bookmarkStart w:id="185" w:name="agencycode13"/>
      <w:bookmarkEnd w:id="185"/>
      <w:r w:rsidRPr="00EA48C9">
        <w:rPr>
          <w:rFonts w:ascii="Arial" w:hAnsi="Arial" w:cs="Arial"/>
          <w:sz w:val="22"/>
          <w:szCs w:val="22"/>
        </w:rPr>
        <w:t xml:space="preserve">MDWFP an ASP based </w:t>
      </w:r>
      <w:bookmarkStart w:id="186" w:name="descriptionofsystem3"/>
      <w:bookmarkEnd w:id="186"/>
      <w:r w:rsidRPr="00EA48C9">
        <w:rPr>
          <w:rFonts w:ascii="Arial" w:hAnsi="Arial" w:cs="Arial"/>
          <w:sz w:val="22"/>
          <w:szCs w:val="22"/>
        </w:rPr>
        <w:t xml:space="preserve">Golf Management system and Services and associated deliverables required to provide, host and maintain a web based application for </w:t>
      </w:r>
      <w:bookmarkStart w:id="187" w:name="agencycode14"/>
      <w:bookmarkEnd w:id="187"/>
      <w:r w:rsidRPr="00EA48C9">
        <w:rPr>
          <w:rFonts w:ascii="Arial" w:hAnsi="Arial" w:cs="Arial"/>
          <w:sz w:val="22"/>
          <w:szCs w:val="22"/>
        </w:rPr>
        <w:t>MDWFP as described in this Agreement. While the scope of work for this project is defined by the contract documents set forth herein in the article titled “Entire Agreement”, a summary of such work is outlined in Article 3.5 below.</w:t>
      </w:r>
    </w:p>
    <w:p w14:paraId="6D57178D" w14:textId="77777777" w:rsidR="00EA48C9" w:rsidRPr="00EA48C9" w:rsidRDefault="00EA48C9" w:rsidP="00EA48C9">
      <w:pPr>
        <w:jc w:val="both"/>
        <w:rPr>
          <w:rFonts w:ascii="Arial" w:hAnsi="Arial" w:cs="Arial"/>
          <w:sz w:val="22"/>
          <w:szCs w:val="22"/>
        </w:rPr>
      </w:pPr>
    </w:p>
    <w:p w14:paraId="412F6F03"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3.2</w:t>
      </w:r>
      <w:r w:rsidRPr="00EA48C9">
        <w:rPr>
          <w:rFonts w:ascii="Arial" w:hAnsi="Arial" w:cs="Arial"/>
          <w:sz w:val="22"/>
          <w:szCs w:val="22"/>
        </w:rPr>
        <w:tab/>
        <w:t xml:space="preserve">The Licensor acknowledges that </w:t>
      </w:r>
      <w:bookmarkStart w:id="188" w:name="agencycode15"/>
      <w:bookmarkEnd w:id="188"/>
      <w:r w:rsidRPr="00EA48C9">
        <w:rPr>
          <w:rFonts w:ascii="Arial" w:hAnsi="Arial" w:cs="Arial"/>
          <w:sz w:val="22"/>
          <w:szCs w:val="22"/>
        </w:rPr>
        <w:t xml:space="preserve">MDWFP intends to be actively involved in the day-to-day progress of the project. The Licensor agrees to (a) obtain </w:t>
      </w:r>
      <w:bookmarkStart w:id="189" w:name="agencycode16"/>
      <w:bookmarkEnd w:id="189"/>
      <w:r w:rsidRPr="00EA48C9">
        <w:rPr>
          <w:rFonts w:ascii="Arial" w:hAnsi="Arial" w:cs="Arial"/>
          <w:sz w:val="22"/>
          <w:szCs w:val="22"/>
        </w:rPr>
        <w:t xml:space="preserve">MDWFP’s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0" w:name="agencycode17"/>
      <w:bookmarkEnd w:id="190"/>
      <w:r w:rsidRPr="00EA48C9">
        <w:rPr>
          <w:rFonts w:ascii="Arial" w:hAnsi="Arial" w:cs="Arial"/>
          <w:sz w:val="22"/>
          <w:szCs w:val="22"/>
        </w:rPr>
        <w:t xml:space="preserve">MDWFP access to the host website; (e) meet with </w:t>
      </w:r>
      <w:bookmarkStart w:id="191" w:name="agencycode18"/>
      <w:bookmarkEnd w:id="191"/>
      <w:r w:rsidRPr="00EA48C9">
        <w:rPr>
          <w:rFonts w:ascii="Arial" w:hAnsi="Arial" w:cs="Arial"/>
          <w:sz w:val="22"/>
          <w:szCs w:val="22"/>
        </w:rPr>
        <w:t xml:space="preserve">MDWFP on a regular basis at a mutually agreeable time, and as otherwise requested by </w:t>
      </w:r>
      <w:bookmarkStart w:id="192" w:name="agencycode19"/>
      <w:bookmarkEnd w:id="192"/>
      <w:r w:rsidRPr="00EA48C9">
        <w:rPr>
          <w:rFonts w:ascii="Arial" w:hAnsi="Arial" w:cs="Arial"/>
          <w:sz w:val="22"/>
          <w:szCs w:val="22"/>
        </w:rPr>
        <w:t xml:space="preserve">MDWFP, to discuss the status of the project, and (f) if required by </w:t>
      </w:r>
      <w:bookmarkStart w:id="193" w:name="agencycode20"/>
      <w:bookmarkEnd w:id="193"/>
      <w:r w:rsidRPr="00EA48C9">
        <w:rPr>
          <w:rFonts w:ascii="Arial" w:hAnsi="Arial" w:cs="Arial"/>
          <w:sz w:val="22"/>
          <w:szCs w:val="22"/>
        </w:rPr>
        <w:t>MDWFP, submit written project status reports.</w:t>
      </w:r>
    </w:p>
    <w:p w14:paraId="53C2AA6B" w14:textId="77777777" w:rsidR="00EA48C9" w:rsidRPr="00EA48C9" w:rsidRDefault="00EA48C9" w:rsidP="00EA48C9">
      <w:pPr>
        <w:jc w:val="both"/>
        <w:rPr>
          <w:rFonts w:ascii="Arial" w:hAnsi="Arial" w:cs="Arial"/>
          <w:sz w:val="22"/>
          <w:szCs w:val="22"/>
        </w:rPr>
      </w:pPr>
    </w:p>
    <w:p w14:paraId="6E10AD06"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3.3</w:t>
      </w:r>
      <w:r w:rsidRPr="00EA48C9">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194" w:name="agencycode21"/>
      <w:bookmarkEnd w:id="194"/>
      <w:r w:rsidRPr="00EA48C9">
        <w:rPr>
          <w:rFonts w:ascii="Arial" w:hAnsi="Arial" w:cs="Arial"/>
          <w:sz w:val="22"/>
          <w:szCs w:val="22"/>
        </w:rPr>
        <w:t xml:space="preserve">MDWFP an opportunity to accept or reject the deliverables, including but not limited to, specifications, requirement definitions, process designs, data analyses, web layouts, screen layouts, and report layouts. The actual customizations shall not begin until after </w:t>
      </w:r>
      <w:bookmarkStart w:id="195" w:name="agencycode22"/>
      <w:bookmarkEnd w:id="195"/>
      <w:r w:rsidRPr="00EA48C9">
        <w:rPr>
          <w:rFonts w:ascii="Arial" w:hAnsi="Arial" w:cs="Arial"/>
          <w:sz w:val="22"/>
          <w:szCs w:val="22"/>
        </w:rPr>
        <w:t xml:space="preserve">MDWFP has communicated its conceptual approval of the results the Licensor plans to provide. </w:t>
      </w:r>
      <w:bookmarkStart w:id="196" w:name="agencycode23"/>
      <w:bookmarkEnd w:id="196"/>
      <w:r w:rsidRPr="00EA48C9">
        <w:rPr>
          <w:rFonts w:ascii="Arial" w:hAnsi="Arial" w:cs="Arial"/>
          <w:sz w:val="22"/>
          <w:szCs w:val="22"/>
        </w:rPr>
        <w:t xml:space="preserve">MDWFP shall have ten (10) business days to review interim materials, which review period can only be reduced by mutual agreement of the Licensor and </w:t>
      </w:r>
      <w:bookmarkStart w:id="197" w:name="agencycode24"/>
      <w:bookmarkEnd w:id="197"/>
      <w:r w:rsidRPr="00EA48C9">
        <w:rPr>
          <w:rFonts w:ascii="Arial" w:hAnsi="Arial" w:cs="Arial"/>
          <w:sz w:val="22"/>
          <w:szCs w:val="22"/>
        </w:rPr>
        <w:t xml:space="preserve">MDWFP. </w:t>
      </w:r>
    </w:p>
    <w:p w14:paraId="10CABD70" w14:textId="77777777" w:rsidR="00EA48C9" w:rsidRPr="00EA48C9" w:rsidRDefault="00EA48C9" w:rsidP="00EA48C9">
      <w:pPr>
        <w:jc w:val="both"/>
        <w:rPr>
          <w:rFonts w:ascii="Arial" w:hAnsi="Arial" w:cs="Arial"/>
          <w:sz w:val="22"/>
          <w:szCs w:val="22"/>
        </w:rPr>
      </w:pPr>
    </w:p>
    <w:p w14:paraId="4CD227B6"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3.4</w:t>
      </w:r>
      <w:r w:rsidRPr="00EA48C9">
        <w:rPr>
          <w:rFonts w:ascii="Arial" w:hAnsi="Arial" w:cs="Arial"/>
          <w:sz w:val="22"/>
          <w:szCs w:val="22"/>
        </w:rPr>
        <w:tab/>
        <w:t xml:space="preserve">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w:t>
      </w:r>
      <w:r w:rsidRPr="00EA48C9">
        <w:rPr>
          <w:rFonts w:ascii="Arial" w:hAnsi="Arial" w:cs="Arial"/>
          <w:sz w:val="22"/>
          <w:szCs w:val="22"/>
        </w:rPr>
        <w:lastRenderedPageBreak/>
        <w:t>time to time upon the mutual written agreement of both parties. The parties agree that the deliverables and schedule set forth in the latest version of the project work plan will take precedence over any prior plans.</w:t>
      </w:r>
    </w:p>
    <w:p w14:paraId="354A4989" w14:textId="77777777" w:rsidR="00EA48C9" w:rsidRPr="00EA48C9" w:rsidRDefault="00EA48C9" w:rsidP="00EA48C9">
      <w:pPr>
        <w:jc w:val="both"/>
        <w:rPr>
          <w:rFonts w:ascii="Arial" w:hAnsi="Arial" w:cs="Arial"/>
          <w:sz w:val="22"/>
          <w:szCs w:val="22"/>
        </w:rPr>
      </w:pPr>
    </w:p>
    <w:p w14:paraId="7DF3CD21"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3.5</w:t>
      </w:r>
      <w:r w:rsidRPr="00EA48C9">
        <w:rPr>
          <w:rFonts w:ascii="Arial" w:hAnsi="Arial" w:cs="Arial"/>
          <w:sz w:val="22"/>
          <w:szCs w:val="22"/>
        </w:rPr>
        <w:tab/>
        <w:t>Licensor shall be responsible for the following:</w:t>
      </w:r>
    </w:p>
    <w:p w14:paraId="0D116C51" w14:textId="77777777" w:rsidR="00EA48C9" w:rsidRPr="00EA48C9" w:rsidRDefault="00EA48C9" w:rsidP="00EA48C9">
      <w:pPr>
        <w:jc w:val="both"/>
        <w:rPr>
          <w:rFonts w:ascii="Arial" w:hAnsi="Arial" w:cs="Arial"/>
          <w:sz w:val="22"/>
          <w:szCs w:val="22"/>
        </w:rPr>
      </w:pPr>
    </w:p>
    <w:p w14:paraId="707526AE"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A.</w:t>
      </w:r>
      <w:r w:rsidRPr="00EA48C9">
        <w:rPr>
          <w:rFonts w:ascii="Arial" w:hAnsi="Arial" w:cs="Arial"/>
          <w:sz w:val="22"/>
          <w:szCs w:val="22"/>
        </w:rPr>
        <w:tab/>
        <w:t xml:space="preserve">Ensuring that all deliverables are complete and accepted by </w:t>
      </w:r>
      <w:bookmarkStart w:id="198" w:name="agencycode25"/>
      <w:bookmarkEnd w:id="198"/>
      <w:r w:rsidRPr="00EA48C9">
        <w:rPr>
          <w:rFonts w:ascii="Arial" w:hAnsi="Arial" w:cs="Arial"/>
          <w:sz w:val="22"/>
          <w:szCs w:val="22"/>
        </w:rPr>
        <w:t>MDWFP pursuant to the mutually agreed upon project work plan;</w:t>
      </w:r>
    </w:p>
    <w:p w14:paraId="5959D772"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B.</w:t>
      </w:r>
      <w:r w:rsidRPr="00EA48C9">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14:paraId="66AB2287"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C.</w:t>
      </w:r>
      <w:r w:rsidRPr="00EA48C9">
        <w:rPr>
          <w:rFonts w:ascii="Arial" w:hAnsi="Arial" w:cs="Arial"/>
          <w:sz w:val="22"/>
          <w:szCs w:val="22"/>
        </w:rPr>
        <w:tab/>
        <w:t xml:space="preserve">Ensuring that the site is accessible through </w:t>
      </w:r>
      <w:bookmarkStart w:id="199" w:name="agencycode26"/>
      <w:bookmarkEnd w:id="199"/>
      <w:r w:rsidRPr="00EA48C9">
        <w:rPr>
          <w:rFonts w:ascii="Arial" w:hAnsi="Arial" w:cs="Arial"/>
          <w:sz w:val="22"/>
          <w:szCs w:val="22"/>
        </w:rPr>
        <w:t>MDWFP’s published universal resource locator (“URL”) rather than through Licensor’s site address;</w:t>
      </w:r>
    </w:p>
    <w:p w14:paraId="4E588762"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D.</w:t>
      </w:r>
      <w:r w:rsidRPr="00EA48C9">
        <w:rPr>
          <w:rFonts w:ascii="Arial" w:hAnsi="Arial" w:cs="Arial"/>
          <w:sz w:val="22"/>
          <w:szCs w:val="22"/>
        </w:rPr>
        <w:tab/>
        <w:t xml:space="preserve">Reviewing with </w:t>
      </w:r>
      <w:bookmarkStart w:id="200" w:name="agencycode27"/>
      <w:bookmarkEnd w:id="200"/>
      <w:r w:rsidRPr="00EA48C9">
        <w:rPr>
          <w:rFonts w:ascii="Arial" w:hAnsi="Arial" w:cs="Arial"/>
          <w:sz w:val="22"/>
          <w:szCs w:val="22"/>
        </w:rPr>
        <w:t xml:space="preserve">MDWFP the Content a minimum of once a quarter to ensure that the Content remains timely and accurate and reaching an agreement with </w:t>
      </w:r>
      <w:bookmarkStart w:id="201" w:name="agencycode28"/>
      <w:bookmarkEnd w:id="201"/>
      <w:r w:rsidRPr="00EA48C9">
        <w:rPr>
          <w:rFonts w:ascii="Arial" w:hAnsi="Arial" w:cs="Arial"/>
          <w:sz w:val="22"/>
          <w:szCs w:val="22"/>
        </w:rPr>
        <w:t>MDWFP as to reasonable timelines for implementing Content updates delivered to the Licensor that will be posted on the site;</w:t>
      </w:r>
    </w:p>
    <w:p w14:paraId="354E9B7C"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E.</w:t>
      </w:r>
      <w:r w:rsidRPr="00EA48C9">
        <w:rPr>
          <w:rFonts w:ascii="Arial" w:hAnsi="Arial" w:cs="Arial"/>
          <w:sz w:val="22"/>
          <w:szCs w:val="22"/>
        </w:rPr>
        <w:tab/>
        <w:t>Tracking date sensitive items to ensure timely updates;</w:t>
      </w:r>
    </w:p>
    <w:p w14:paraId="23AFB891"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F.</w:t>
      </w:r>
      <w:r w:rsidRPr="00EA48C9">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27486852"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G.</w:t>
      </w:r>
      <w:r w:rsidRPr="00EA48C9">
        <w:rPr>
          <w:rFonts w:ascii="Arial" w:hAnsi="Arial" w:cs="Arial"/>
          <w:sz w:val="22"/>
          <w:szCs w:val="22"/>
        </w:rPr>
        <w:tab/>
        <w:t xml:space="preserve">Working with </w:t>
      </w:r>
      <w:bookmarkStart w:id="202" w:name="agencycode29"/>
      <w:bookmarkEnd w:id="202"/>
      <w:r w:rsidRPr="00EA48C9">
        <w:rPr>
          <w:rFonts w:ascii="Arial" w:hAnsi="Arial" w:cs="Arial"/>
          <w:sz w:val="22"/>
          <w:szCs w:val="22"/>
        </w:rPr>
        <w:t xml:space="preserve">MDWFP to achieve access rates that meet </w:t>
      </w:r>
      <w:bookmarkStart w:id="203" w:name="agencycode30"/>
      <w:bookmarkEnd w:id="203"/>
      <w:r w:rsidRPr="00EA48C9">
        <w:rPr>
          <w:rFonts w:ascii="Arial" w:hAnsi="Arial" w:cs="Arial"/>
          <w:sz w:val="22"/>
          <w:szCs w:val="22"/>
        </w:rPr>
        <w:t>MDWFP’s needs;</w:t>
      </w:r>
    </w:p>
    <w:p w14:paraId="1FD6DCDF"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H.</w:t>
      </w:r>
      <w:r w:rsidRPr="00EA48C9">
        <w:rPr>
          <w:rFonts w:ascii="Arial" w:hAnsi="Arial" w:cs="Arial"/>
          <w:sz w:val="22"/>
          <w:szCs w:val="22"/>
        </w:rPr>
        <w:tab/>
        <w:t xml:space="preserve">Providing security for the host site that is agreeable to </w:t>
      </w:r>
      <w:bookmarkStart w:id="204" w:name="agencycode31"/>
      <w:bookmarkEnd w:id="204"/>
      <w:r w:rsidRPr="00EA48C9">
        <w:rPr>
          <w:rFonts w:ascii="Arial" w:hAnsi="Arial" w:cs="Arial"/>
          <w:sz w:val="22"/>
          <w:szCs w:val="22"/>
        </w:rPr>
        <w:t>MDWFP with Licensor responsible for all necessary equipment and software related to security;</w:t>
      </w:r>
    </w:p>
    <w:p w14:paraId="10E40AA4"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I.</w:t>
      </w:r>
      <w:r w:rsidRPr="00EA48C9">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1778EED3"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J.</w:t>
      </w:r>
      <w:r w:rsidRPr="00EA48C9">
        <w:rPr>
          <w:rFonts w:ascii="Arial" w:hAnsi="Arial" w:cs="Arial"/>
          <w:sz w:val="22"/>
          <w:szCs w:val="22"/>
        </w:rPr>
        <w:tab/>
        <w:t>Completing daily backups of the site;</w:t>
      </w:r>
    </w:p>
    <w:p w14:paraId="156EE5CD"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K.</w:t>
      </w:r>
      <w:r w:rsidRPr="00EA48C9">
        <w:rPr>
          <w:rFonts w:ascii="Arial" w:hAnsi="Arial" w:cs="Arial"/>
          <w:sz w:val="22"/>
          <w:szCs w:val="22"/>
        </w:rPr>
        <w:tab/>
        <w:t xml:space="preserve">Notifying </w:t>
      </w:r>
      <w:bookmarkStart w:id="205" w:name="agencycode32"/>
      <w:bookmarkEnd w:id="205"/>
      <w:r w:rsidRPr="00EA48C9">
        <w:rPr>
          <w:rFonts w:ascii="Arial" w:hAnsi="Arial" w:cs="Arial"/>
          <w:sz w:val="22"/>
          <w:szCs w:val="22"/>
        </w:rPr>
        <w:t>MDWFP at least three (3) business days prior to any anticipated service interruption, with said notice containing a general description of the reason for the service interruption;</w:t>
      </w:r>
    </w:p>
    <w:p w14:paraId="5A72B872"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L.</w:t>
      </w:r>
      <w:r w:rsidRPr="00EA48C9">
        <w:rPr>
          <w:rFonts w:ascii="Arial" w:hAnsi="Arial" w:cs="Arial"/>
          <w:sz w:val="22"/>
          <w:szCs w:val="22"/>
        </w:rPr>
        <w:tab/>
        <w:t>Proposing and adhering to a disaster recovery plan and providing access to such plan to the State, all at Licensor’s expense;</w:t>
      </w:r>
    </w:p>
    <w:p w14:paraId="7E1AD87C"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M</w:t>
      </w:r>
      <w:r w:rsidRPr="00EA48C9">
        <w:rPr>
          <w:rFonts w:ascii="Arial" w:hAnsi="Arial" w:cs="Arial"/>
          <w:sz w:val="22"/>
          <w:szCs w:val="22"/>
        </w:rPr>
        <w:t>.</w:t>
      </w:r>
      <w:r w:rsidRPr="00EA48C9">
        <w:rPr>
          <w:rFonts w:ascii="Arial" w:hAnsi="Arial" w:cs="Arial"/>
          <w:sz w:val="22"/>
          <w:szCs w:val="22"/>
        </w:rPr>
        <w:tab/>
        <w:t xml:space="preserve">Participating with </w:t>
      </w:r>
      <w:bookmarkStart w:id="206" w:name="agencycode33"/>
      <w:bookmarkEnd w:id="206"/>
      <w:r w:rsidRPr="00EA48C9">
        <w:rPr>
          <w:rFonts w:ascii="Arial" w:hAnsi="Arial" w:cs="Arial"/>
          <w:sz w:val="22"/>
          <w:szCs w:val="22"/>
        </w:rPr>
        <w:t>MDWFP in disaster recovery planning and testing based on a mutually agreed upon schedule;</w:t>
      </w:r>
    </w:p>
    <w:p w14:paraId="66EFFC8A"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N.</w:t>
      </w:r>
      <w:r w:rsidRPr="00EA48C9">
        <w:rPr>
          <w:rFonts w:ascii="Arial" w:hAnsi="Arial" w:cs="Arial"/>
          <w:sz w:val="22"/>
          <w:szCs w:val="22"/>
        </w:rPr>
        <w:tab/>
        <w:t>Maintaining the confidentiality of the data entered;</w:t>
      </w:r>
    </w:p>
    <w:p w14:paraId="1FB81EC4"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O.</w:t>
      </w:r>
      <w:r w:rsidRPr="00EA48C9">
        <w:rPr>
          <w:rFonts w:ascii="Arial" w:hAnsi="Arial" w:cs="Arial"/>
          <w:sz w:val="22"/>
          <w:szCs w:val="22"/>
        </w:rPr>
        <w:tab/>
        <w:t xml:space="preserve">Providing </w:t>
      </w:r>
      <w:bookmarkStart w:id="207" w:name="agencycode34"/>
      <w:bookmarkEnd w:id="207"/>
      <w:r w:rsidRPr="00EA48C9">
        <w:rPr>
          <w:rFonts w:ascii="Arial" w:hAnsi="Arial" w:cs="Arial"/>
          <w:sz w:val="22"/>
          <w:szCs w:val="22"/>
        </w:rPr>
        <w:t>MDWFP access to all of the technical information concerning operation of the site, including but not limited to, server specifications, Internet connection information, personnel requirements and software implementations;</w:t>
      </w:r>
    </w:p>
    <w:p w14:paraId="7580F681"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P.</w:t>
      </w:r>
      <w:r w:rsidRPr="00EA48C9">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14:paraId="6F7DA0A1"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Q.</w:t>
      </w:r>
      <w:r w:rsidRPr="00EA48C9">
        <w:rPr>
          <w:rFonts w:ascii="Arial" w:hAnsi="Arial" w:cs="Arial"/>
          <w:sz w:val="22"/>
          <w:szCs w:val="22"/>
        </w:rPr>
        <w:tab/>
        <w:t xml:space="preserve">Maintaining the host site, with the cost for such support, maintenance, and hosting for years following the initial </w:t>
      </w:r>
      <w:bookmarkStart w:id="208" w:name="initialtermyears1"/>
      <w:bookmarkEnd w:id="208"/>
      <w:r w:rsidRPr="00EA48C9">
        <w:rPr>
          <w:rFonts w:ascii="Arial" w:hAnsi="Arial" w:cs="Arial"/>
          <w:sz w:val="22"/>
          <w:szCs w:val="22"/>
        </w:rPr>
        <w:t>three (3) year period not increasing annually beyond five percent (5%) or the percent increase in the consumer price index for all Urban Consumers, US City Average (C.P.I.-U) for the preceding year, whichever is less;</w:t>
      </w:r>
    </w:p>
    <w:p w14:paraId="418844BD"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R.</w:t>
      </w:r>
      <w:r w:rsidRPr="00EA48C9">
        <w:rPr>
          <w:rFonts w:ascii="Arial" w:hAnsi="Arial" w:cs="Arial"/>
          <w:sz w:val="22"/>
          <w:szCs w:val="22"/>
        </w:rPr>
        <w:tab/>
        <w:t>Providing 24x7x365 support of the web site, including sub-domain support;</w:t>
      </w:r>
    </w:p>
    <w:p w14:paraId="23C1D111"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lastRenderedPageBreak/>
        <w:t>S.</w:t>
      </w:r>
      <w:r w:rsidRPr="00EA48C9">
        <w:rPr>
          <w:rFonts w:ascii="Arial" w:hAnsi="Arial" w:cs="Arial"/>
          <w:sz w:val="22"/>
          <w:szCs w:val="22"/>
        </w:rPr>
        <w:tab/>
        <w:t>Providing redundant internet connections;</w:t>
      </w:r>
    </w:p>
    <w:p w14:paraId="5D7E3AD0"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T.</w:t>
      </w:r>
      <w:r w:rsidRPr="00EA48C9">
        <w:rPr>
          <w:rFonts w:ascii="Arial" w:hAnsi="Arial" w:cs="Arial"/>
          <w:sz w:val="22"/>
          <w:szCs w:val="22"/>
        </w:rPr>
        <w:tab/>
        <w:t>Providing Dual T1 or greater connectivity;</w:t>
      </w:r>
    </w:p>
    <w:p w14:paraId="4EA31BE6"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U.</w:t>
      </w:r>
      <w:r w:rsidRPr="00EA48C9">
        <w:rPr>
          <w:rFonts w:ascii="Arial" w:hAnsi="Arial" w:cs="Arial"/>
          <w:sz w:val="22"/>
          <w:szCs w:val="22"/>
        </w:rPr>
        <w:tab/>
        <w:t>Providing FTP and remote configuration access;</w:t>
      </w:r>
    </w:p>
    <w:p w14:paraId="62721454"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V.</w:t>
      </w:r>
      <w:r w:rsidRPr="00EA48C9">
        <w:rPr>
          <w:rFonts w:ascii="Arial" w:hAnsi="Arial" w:cs="Arial"/>
          <w:sz w:val="22"/>
          <w:szCs w:val="22"/>
        </w:rPr>
        <w:tab/>
        <w:t>Providing SSL secure server support;</w:t>
      </w:r>
    </w:p>
    <w:p w14:paraId="4D82C92F"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W</w:t>
      </w:r>
      <w:r w:rsidRPr="00EA48C9">
        <w:rPr>
          <w:rFonts w:ascii="Arial" w:hAnsi="Arial" w:cs="Arial"/>
          <w:sz w:val="22"/>
          <w:szCs w:val="22"/>
        </w:rPr>
        <w:t>.</w:t>
      </w:r>
      <w:r w:rsidRPr="00EA48C9">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09" w:name="agencycode35"/>
      <w:bookmarkEnd w:id="209"/>
      <w:r w:rsidRPr="00EA48C9">
        <w:rPr>
          <w:rFonts w:ascii="Arial" w:hAnsi="Arial" w:cs="Arial"/>
          <w:sz w:val="22"/>
          <w:szCs w:val="22"/>
        </w:rPr>
        <w:t>MDWFP;</w:t>
      </w:r>
    </w:p>
    <w:p w14:paraId="2D6CF4C8"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X.</w:t>
      </w:r>
      <w:r w:rsidRPr="00EA48C9">
        <w:rPr>
          <w:rFonts w:ascii="Arial" w:hAnsi="Arial" w:cs="Arial"/>
          <w:sz w:val="22"/>
          <w:szCs w:val="22"/>
        </w:rPr>
        <w:tab/>
        <w:t xml:space="preserve">Maintaining sufficient bandwidth and server capacity to meet </w:t>
      </w:r>
      <w:bookmarkStart w:id="210" w:name="agencycode36"/>
      <w:bookmarkEnd w:id="210"/>
      <w:r w:rsidRPr="00EA48C9">
        <w:rPr>
          <w:rFonts w:ascii="Arial" w:hAnsi="Arial" w:cs="Arial"/>
          <w:sz w:val="22"/>
          <w:szCs w:val="22"/>
        </w:rPr>
        <w:t>MDWFP and Active Users’ demand as it may fluctuate and increase during the term of this Agreement, and</w:t>
      </w:r>
    </w:p>
    <w:p w14:paraId="47F754ED" w14:textId="77777777" w:rsidR="00EA48C9" w:rsidRPr="00EA48C9" w:rsidRDefault="00EA48C9" w:rsidP="00EA48C9">
      <w:pPr>
        <w:ind w:left="720" w:hanging="360"/>
        <w:jc w:val="both"/>
        <w:rPr>
          <w:rFonts w:ascii="Arial" w:hAnsi="Arial" w:cs="Arial"/>
          <w:sz w:val="22"/>
          <w:szCs w:val="22"/>
        </w:rPr>
      </w:pPr>
      <w:r w:rsidRPr="00EA48C9">
        <w:rPr>
          <w:rFonts w:ascii="Arial" w:hAnsi="Arial" w:cs="Arial"/>
          <w:b/>
          <w:sz w:val="22"/>
          <w:szCs w:val="22"/>
        </w:rPr>
        <w:t>Y.</w:t>
      </w:r>
      <w:r w:rsidRPr="00EA48C9">
        <w:rPr>
          <w:rFonts w:ascii="Arial" w:hAnsi="Arial" w:cs="Arial"/>
          <w:sz w:val="22"/>
          <w:szCs w:val="22"/>
        </w:rPr>
        <w:tab/>
        <w:t xml:space="preserve">Ensuring that upon termination or expiration of this Agreement that transition of the site from the Licensor to </w:t>
      </w:r>
      <w:bookmarkStart w:id="211" w:name="agencycode37"/>
      <w:bookmarkEnd w:id="211"/>
      <w:r w:rsidRPr="00EA48C9">
        <w:rPr>
          <w:rFonts w:ascii="Arial" w:hAnsi="Arial" w:cs="Arial"/>
          <w:sz w:val="22"/>
          <w:szCs w:val="22"/>
        </w:rPr>
        <w:t xml:space="preserve">MDWFP or to a successor host will be accomplished at no expense to </w:t>
      </w:r>
      <w:bookmarkStart w:id="212" w:name="agencycode38"/>
      <w:bookmarkEnd w:id="212"/>
      <w:r w:rsidRPr="00EA48C9">
        <w:rPr>
          <w:rFonts w:ascii="Arial" w:hAnsi="Arial" w:cs="Arial"/>
          <w:sz w:val="22"/>
          <w:szCs w:val="22"/>
        </w:rPr>
        <w:t>MDWFP, and with minimal interruption of the site’s accessibility and insignificant changes in the site’s appearance and functionality.</w:t>
      </w:r>
    </w:p>
    <w:p w14:paraId="7681F1BE" w14:textId="77777777" w:rsidR="00EA48C9" w:rsidRPr="00EA48C9" w:rsidRDefault="00EA48C9" w:rsidP="00EA48C9">
      <w:pPr>
        <w:jc w:val="both"/>
        <w:rPr>
          <w:rFonts w:ascii="Arial" w:hAnsi="Arial" w:cs="Arial"/>
          <w:sz w:val="22"/>
          <w:szCs w:val="22"/>
        </w:rPr>
      </w:pPr>
    </w:p>
    <w:p w14:paraId="72240A92"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3.6</w:t>
      </w:r>
      <w:r w:rsidRPr="00EA48C9">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6BB66950" w14:textId="77777777" w:rsidR="00EA48C9" w:rsidRPr="00EA48C9" w:rsidRDefault="00EA48C9" w:rsidP="00EA48C9">
      <w:pPr>
        <w:jc w:val="both"/>
        <w:rPr>
          <w:rFonts w:ascii="Arial" w:hAnsi="Arial" w:cs="Arial"/>
          <w:sz w:val="22"/>
          <w:szCs w:val="22"/>
        </w:rPr>
      </w:pPr>
    </w:p>
    <w:p w14:paraId="4FF32004"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4</w:t>
      </w:r>
      <w:r w:rsidRPr="00EA48C9">
        <w:rPr>
          <w:rFonts w:ascii="Arial" w:hAnsi="Arial" w:cs="Arial"/>
          <w:b/>
          <w:sz w:val="22"/>
          <w:szCs w:val="22"/>
        </w:rPr>
        <w:tab/>
        <w:t xml:space="preserve">SCOPE OF LICENSE AND HOSTING SERVICES </w:t>
      </w:r>
    </w:p>
    <w:p w14:paraId="3D20205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4.1</w:t>
      </w:r>
      <w:r w:rsidRPr="00EA48C9">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14851F6B" w14:textId="77777777" w:rsidR="00EA48C9" w:rsidRPr="00EA48C9" w:rsidRDefault="00EA48C9" w:rsidP="00EA48C9">
      <w:pPr>
        <w:jc w:val="both"/>
        <w:rPr>
          <w:rFonts w:ascii="Arial" w:hAnsi="Arial" w:cs="Arial"/>
          <w:sz w:val="22"/>
          <w:szCs w:val="22"/>
        </w:rPr>
      </w:pPr>
    </w:p>
    <w:p w14:paraId="52130AB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w:t>
      </w:r>
      <w:r w:rsidRPr="00EA48C9">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14:paraId="3F8FB759" w14:textId="77777777" w:rsidR="00EA48C9" w:rsidRPr="00EA48C9" w:rsidRDefault="00EA48C9" w:rsidP="00EA48C9">
      <w:pPr>
        <w:jc w:val="both"/>
        <w:rPr>
          <w:rFonts w:ascii="Arial" w:hAnsi="Arial" w:cs="Arial"/>
          <w:sz w:val="22"/>
          <w:szCs w:val="22"/>
        </w:rPr>
      </w:pPr>
    </w:p>
    <w:p w14:paraId="07799E23"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4.3</w:t>
      </w:r>
      <w:r w:rsidRPr="00EA48C9">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5FB45F28" w14:textId="77777777" w:rsidR="00EA48C9" w:rsidRPr="00EA48C9" w:rsidRDefault="00EA48C9" w:rsidP="00EA48C9">
      <w:pPr>
        <w:jc w:val="both"/>
        <w:rPr>
          <w:rFonts w:ascii="Arial" w:hAnsi="Arial" w:cs="Arial"/>
          <w:sz w:val="22"/>
          <w:szCs w:val="22"/>
        </w:rPr>
      </w:pPr>
    </w:p>
    <w:p w14:paraId="25B37572"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4.4</w:t>
      </w:r>
      <w:r w:rsidRPr="00EA48C9">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3" w:name="agencycode39"/>
      <w:bookmarkEnd w:id="213"/>
      <w:r w:rsidRPr="00EA48C9">
        <w:rPr>
          <w:rFonts w:ascii="Arial" w:hAnsi="Arial" w:cs="Arial"/>
          <w:sz w:val="22"/>
          <w:szCs w:val="22"/>
        </w:rPr>
        <w:t xml:space="preserve">MDWFP or an Active User is unable to achieve the 99% application availability during any given month, excluding scheduled maintenance, required repairs, and unavailability due to causes beyond the control of Licensor, the Licensor shall reimburse </w:t>
      </w:r>
      <w:bookmarkStart w:id="214" w:name="agencycode40"/>
      <w:bookmarkEnd w:id="214"/>
      <w:r w:rsidRPr="00EA48C9">
        <w:rPr>
          <w:rFonts w:ascii="Arial" w:hAnsi="Arial" w:cs="Arial"/>
          <w:sz w:val="22"/>
          <w:szCs w:val="22"/>
        </w:rPr>
        <w:t xml:space="preserve">MDWFP twenty-five percent (25%) of the monthly ASP hosting fees for each twenty-four (24) hour day during which there were any incidents of unavailability. Licensor shall maintain the server at a secured location with restricted access. </w:t>
      </w:r>
    </w:p>
    <w:p w14:paraId="70AD702D" w14:textId="77777777" w:rsidR="00EA48C9" w:rsidRPr="00EA48C9" w:rsidRDefault="00EA48C9" w:rsidP="00EA48C9">
      <w:pPr>
        <w:jc w:val="both"/>
        <w:rPr>
          <w:rFonts w:ascii="Arial" w:hAnsi="Arial" w:cs="Arial"/>
          <w:sz w:val="22"/>
          <w:szCs w:val="22"/>
        </w:rPr>
      </w:pPr>
    </w:p>
    <w:p w14:paraId="48B55F6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lastRenderedPageBreak/>
        <w:t>4.5</w:t>
      </w:r>
      <w:r w:rsidRPr="00EA48C9">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711A4317" w14:textId="77777777" w:rsidR="00EA48C9" w:rsidRPr="00EA48C9" w:rsidRDefault="00EA48C9" w:rsidP="00EA48C9">
      <w:pPr>
        <w:jc w:val="both"/>
        <w:rPr>
          <w:rFonts w:ascii="Arial" w:hAnsi="Arial" w:cs="Arial"/>
          <w:sz w:val="22"/>
          <w:szCs w:val="22"/>
        </w:rPr>
      </w:pPr>
    </w:p>
    <w:p w14:paraId="178CC48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4.6</w:t>
      </w:r>
      <w:r w:rsidRPr="00EA48C9">
        <w:rPr>
          <w:rFonts w:ascii="Arial" w:hAnsi="Arial" w:cs="Arial"/>
          <w:sz w:val="22"/>
          <w:szCs w:val="22"/>
        </w:rPr>
        <w:tab/>
        <w:t xml:space="preserve"> The use of the Software by Active Users will be governed solely by the terms and conditions of this Agreement.</w:t>
      </w:r>
    </w:p>
    <w:p w14:paraId="0E5CAD4A" w14:textId="77777777" w:rsidR="00EA48C9" w:rsidRPr="00EA48C9" w:rsidRDefault="00EA48C9" w:rsidP="00EA48C9">
      <w:pPr>
        <w:jc w:val="both"/>
        <w:rPr>
          <w:rFonts w:ascii="Arial" w:hAnsi="Arial" w:cs="Arial"/>
          <w:sz w:val="22"/>
          <w:szCs w:val="22"/>
        </w:rPr>
      </w:pPr>
    </w:p>
    <w:p w14:paraId="1470AA7B"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4.7</w:t>
      </w:r>
      <w:r w:rsidRPr="00EA48C9">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4148E5CF" w14:textId="77777777" w:rsidR="00EA48C9" w:rsidRPr="00EA48C9" w:rsidRDefault="00EA48C9" w:rsidP="00EA48C9">
      <w:pPr>
        <w:jc w:val="both"/>
        <w:rPr>
          <w:rFonts w:ascii="Arial" w:hAnsi="Arial" w:cs="Arial"/>
          <w:sz w:val="22"/>
          <w:szCs w:val="22"/>
        </w:rPr>
      </w:pPr>
    </w:p>
    <w:p w14:paraId="24A507B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4.8</w:t>
      </w:r>
      <w:r w:rsidRPr="00EA48C9">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6A260FA8" w14:textId="77777777" w:rsidR="00EA48C9" w:rsidRPr="00EA48C9" w:rsidRDefault="00EA48C9" w:rsidP="00EA48C9">
      <w:pPr>
        <w:jc w:val="both"/>
        <w:rPr>
          <w:rFonts w:ascii="Arial" w:hAnsi="Arial" w:cs="Arial"/>
          <w:sz w:val="22"/>
          <w:szCs w:val="22"/>
        </w:rPr>
      </w:pPr>
    </w:p>
    <w:p w14:paraId="51339CDC"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5</w:t>
      </w:r>
      <w:r w:rsidRPr="00EA48C9">
        <w:rPr>
          <w:rFonts w:ascii="Arial" w:hAnsi="Arial" w:cs="Arial"/>
          <w:b/>
          <w:sz w:val="22"/>
          <w:szCs w:val="22"/>
        </w:rPr>
        <w:tab/>
        <w:t>DELIVERY; RISK OF LOSS, AND ACCEPTANCE</w:t>
      </w:r>
    </w:p>
    <w:p w14:paraId="4415954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5.1</w:t>
      </w:r>
      <w:r w:rsidRPr="00EA48C9">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0B0D0AE8" w14:textId="77777777" w:rsidR="00EA48C9" w:rsidRPr="00EA48C9" w:rsidRDefault="00EA48C9" w:rsidP="00EA48C9">
      <w:pPr>
        <w:jc w:val="both"/>
        <w:rPr>
          <w:rFonts w:ascii="Arial" w:hAnsi="Arial" w:cs="Arial"/>
          <w:sz w:val="22"/>
          <w:szCs w:val="22"/>
        </w:rPr>
      </w:pPr>
    </w:p>
    <w:p w14:paraId="0E6823A7"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5.2</w:t>
      </w:r>
      <w:r w:rsidRPr="00EA48C9">
        <w:rPr>
          <w:rFonts w:ascii="Arial" w:hAnsi="Arial" w:cs="Arial"/>
          <w:sz w:val="22"/>
          <w:szCs w:val="22"/>
        </w:rPr>
        <w:tab/>
        <w:t>Licensor shall assume and bear the entire risk of loss and damage to the Products from any cause whatsoever while in transit and at all times throughout Licensor’s possession thereof.</w:t>
      </w:r>
    </w:p>
    <w:p w14:paraId="4C2C6814" w14:textId="77777777" w:rsidR="00EA48C9" w:rsidRPr="00EA48C9" w:rsidRDefault="00EA48C9" w:rsidP="00EA48C9">
      <w:pPr>
        <w:jc w:val="both"/>
        <w:rPr>
          <w:rFonts w:ascii="Arial" w:hAnsi="Arial" w:cs="Arial"/>
          <w:sz w:val="22"/>
          <w:szCs w:val="22"/>
        </w:rPr>
      </w:pPr>
    </w:p>
    <w:p w14:paraId="5EA199C3"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5.3</w:t>
      </w:r>
      <w:r w:rsidRPr="00EA48C9">
        <w:rPr>
          <w:rFonts w:ascii="Arial" w:hAnsi="Arial" w:cs="Arial"/>
          <w:sz w:val="22"/>
          <w:szCs w:val="22"/>
        </w:rPr>
        <w:tab/>
      </w:r>
      <w:bookmarkStart w:id="215" w:name="agencycode41"/>
      <w:bookmarkEnd w:id="215"/>
      <w:r w:rsidRPr="00EA48C9">
        <w:rPr>
          <w:rFonts w:ascii="Arial" w:hAnsi="Arial" w:cs="Arial"/>
          <w:sz w:val="22"/>
          <w:szCs w:val="22"/>
        </w:rPr>
        <w:t xml:space="preserve">MDWFP shall have thirty (30) calendar days after the Available Date to evaluate and conduct the final acceptance testing of the Software to confirm that it performs without any defects and performs in accordance with the requirements of this Agreement.  </w:t>
      </w:r>
      <w:bookmarkStart w:id="216" w:name="agencycode42"/>
      <w:bookmarkEnd w:id="216"/>
      <w:r w:rsidRPr="00EA48C9">
        <w:rPr>
          <w:rFonts w:ascii="Arial" w:hAnsi="Arial" w:cs="Arial"/>
          <w:sz w:val="22"/>
          <w:szCs w:val="22"/>
        </w:rPr>
        <w:t xml:space="preserve">MDWFP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7" w:name="agencycode43"/>
      <w:bookmarkEnd w:id="217"/>
      <w:r w:rsidRPr="00EA48C9">
        <w:rPr>
          <w:rFonts w:ascii="Arial" w:hAnsi="Arial" w:cs="Arial"/>
          <w:sz w:val="22"/>
          <w:szCs w:val="22"/>
        </w:rPr>
        <w:t xml:space="preserve">MDWFP may terminate this Agreement pursuant to the Termination Article herein. </w:t>
      </w:r>
    </w:p>
    <w:p w14:paraId="7894A727" w14:textId="77777777" w:rsidR="00EA48C9" w:rsidRPr="00EA48C9" w:rsidRDefault="00EA48C9" w:rsidP="00EA48C9">
      <w:pPr>
        <w:jc w:val="both"/>
        <w:rPr>
          <w:rFonts w:ascii="Arial" w:hAnsi="Arial" w:cs="Arial"/>
          <w:sz w:val="22"/>
          <w:szCs w:val="22"/>
        </w:rPr>
      </w:pPr>
    </w:p>
    <w:p w14:paraId="79DD70C9"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6</w:t>
      </w:r>
      <w:r w:rsidRPr="00EA48C9">
        <w:rPr>
          <w:rFonts w:ascii="Arial" w:hAnsi="Arial" w:cs="Arial"/>
          <w:b/>
          <w:sz w:val="22"/>
          <w:szCs w:val="22"/>
        </w:rPr>
        <w:tab/>
        <w:t>CONSIDERATION AND METHOD OF PAYMENT</w:t>
      </w:r>
    </w:p>
    <w:p w14:paraId="3F3CC55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6.1</w:t>
      </w:r>
      <w:r w:rsidRPr="00EA48C9">
        <w:rPr>
          <w:rFonts w:ascii="Arial" w:hAnsi="Arial" w:cs="Arial"/>
          <w:b/>
          <w:sz w:val="22"/>
          <w:szCs w:val="22"/>
        </w:rPr>
        <w:tab/>
      </w:r>
      <w:r w:rsidRPr="00EA48C9">
        <w:rPr>
          <w:rFonts w:ascii="Arial" w:hAnsi="Arial" w:cs="Arial"/>
          <w:sz w:val="22"/>
          <w:szCs w:val="22"/>
        </w:rPr>
        <w:t xml:space="preserve">All costs associated with the development, implementation, hosting and operation of the golf management system including all hardware, personnel, software, and supply costs over the life of this Agreement are included in the privilege/Internet fulfillment fees listed in Exhibit A, which shall be paid by MDWFP customers. Privilege fees and Internet fulfillment fees will be payable on sales processed by Licensor in production, including without limitation, during the live production pilot. MDWFP shall not incur any up-front or continuing equipment or system development direct costs.  MDWFP shall not be responsible for any communication costs that may occur as a result of the connections between the State and the Licensor or the Licensor and MDWFP customers. The Licensor will derive payment solely from privilege fees/Internet fulfillment fee proceeds charged to MDWFP customers. Licensor understands and agrees that the fees charged by Licensor and specified in the attached Exhibit A shall not increase during the term of this </w:t>
      </w:r>
      <w:r w:rsidRPr="00EA48C9">
        <w:rPr>
          <w:rFonts w:ascii="Arial" w:hAnsi="Arial" w:cs="Arial"/>
          <w:sz w:val="22"/>
          <w:szCs w:val="22"/>
        </w:rPr>
        <w:lastRenderedPageBreak/>
        <w:t>Agreement. Any applicable fulfillment fees will be collected from the MDWFP customer at the time of purchase.</w:t>
      </w:r>
    </w:p>
    <w:p w14:paraId="196B2087" w14:textId="77777777" w:rsidR="00EA48C9" w:rsidRPr="00EA48C9" w:rsidRDefault="00EA48C9" w:rsidP="00EA48C9">
      <w:pPr>
        <w:jc w:val="both"/>
        <w:rPr>
          <w:rFonts w:ascii="Arial" w:hAnsi="Arial" w:cs="Arial"/>
          <w:b/>
          <w:bCs/>
          <w:sz w:val="22"/>
          <w:szCs w:val="22"/>
        </w:rPr>
      </w:pPr>
    </w:p>
    <w:p w14:paraId="3DCB9BEE" w14:textId="77777777" w:rsidR="00EA48C9" w:rsidRPr="00EA48C9" w:rsidRDefault="00EA48C9" w:rsidP="00EA48C9">
      <w:pPr>
        <w:jc w:val="both"/>
        <w:rPr>
          <w:rFonts w:ascii="Arial" w:hAnsi="Arial" w:cs="Arial"/>
          <w:sz w:val="22"/>
          <w:szCs w:val="22"/>
        </w:rPr>
      </w:pPr>
      <w:r w:rsidRPr="00EA48C9">
        <w:rPr>
          <w:rFonts w:ascii="Arial" w:hAnsi="Arial" w:cs="Arial"/>
          <w:b/>
          <w:bCs/>
          <w:sz w:val="22"/>
          <w:szCs w:val="22"/>
        </w:rPr>
        <w:t>6.2</w:t>
      </w:r>
      <w:r w:rsidRPr="00EA48C9">
        <w:rPr>
          <w:rFonts w:ascii="Arial" w:hAnsi="Arial" w:cs="Arial"/>
          <w:sz w:val="22"/>
          <w:szCs w:val="22"/>
        </w:rPr>
        <w:tab/>
        <w:t xml:space="preserve">Licensor shall keep daily records of the actual number of privileges/subscriptions sold by the license agents and shall remit such records, along with the payments (including privilege fees/fulfillment fees) received by Licensor from the sale of the privileges/subscriptions during the previous month to MDWFP on a monthly basis. </w:t>
      </w:r>
    </w:p>
    <w:p w14:paraId="4729DED7" w14:textId="77777777" w:rsidR="00EA48C9" w:rsidRPr="00EA48C9" w:rsidRDefault="00EA48C9" w:rsidP="00EA48C9">
      <w:pPr>
        <w:jc w:val="both"/>
        <w:rPr>
          <w:rFonts w:ascii="Arial" w:hAnsi="Arial" w:cs="Arial"/>
          <w:sz w:val="22"/>
          <w:szCs w:val="22"/>
        </w:rPr>
      </w:pPr>
    </w:p>
    <w:p w14:paraId="2C56AEBB" w14:textId="77777777" w:rsidR="00EA48C9" w:rsidRPr="00EA48C9" w:rsidRDefault="00EA48C9" w:rsidP="00EA48C9">
      <w:pPr>
        <w:jc w:val="both"/>
        <w:rPr>
          <w:rFonts w:ascii="Arial" w:hAnsi="Arial" w:cs="Arial"/>
          <w:sz w:val="22"/>
          <w:szCs w:val="22"/>
        </w:rPr>
      </w:pPr>
      <w:r w:rsidRPr="00EA48C9">
        <w:rPr>
          <w:rFonts w:ascii="Arial" w:hAnsi="Arial" w:cs="Arial"/>
          <w:b/>
          <w:bCs/>
          <w:sz w:val="22"/>
          <w:szCs w:val="22"/>
        </w:rPr>
        <w:t>6.3</w:t>
      </w:r>
      <w:r w:rsidRPr="00EA48C9">
        <w:rPr>
          <w:rFonts w:ascii="Arial" w:hAnsi="Arial" w:cs="Arial"/>
          <w:sz w:val="22"/>
          <w:szCs w:val="22"/>
        </w:rPr>
        <w:tab/>
        <w:t>Licensor shall submit an invoice monthly with the appropriate documentation to MDWFP for any month in which transactions are processed. The invoices shall include the contract and order number and must be accompanied by a detailed report by orders sold/voided during the invoice period. Upon the expiration of this Agreement, Licensor shall submit the final invoice with appropriate documentation to MDWFP for payment for the services performed during the final month of this Agreement.  Licensor shall submit invoices and supporting documentation to MDWFP electronically during the term of this Agreement using the processes and procedures identified by the State.  MDWFP agrees to make any payments which may come due under this Agreement in accordance with Mississippi law on “Timely Payments for Purchases by Public Bodies”, Section 31-7-301, et seq. of the 1972 Mississippi Code Annotated, as amended, which generally provides for payment of undisputed amounts by MDWFP within forty-five (45) days of receipt of the invoice. Licensor understands and agrees that MDWFP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or incomplete work, and the Licensor shall remain responsible and liable for full performance.</w:t>
      </w:r>
    </w:p>
    <w:p w14:paraId="147A007F" w14:textId="77777777" w:rsidR="00EA48C9" w:rsidRPr="00EA48C9" w:rsidRDefault="00EA48C9" w:rsidP="00EA48C9">
      <w:pPr>
        <w:jc w:val="both"/>
        <w:rPr>
          <w:rFonts w:ascii="Arial" w:hAnsi="Arial" w:cs="Arial"/>
          <w:sz w:val="22"/>
          <w:szCs w:val="22"/>
        </w:rPr>
      </w:pPr>
    </w:p>
    <w:p w14:paraId="2771C355" w14:textId="77777777" w:rsidR="00EA48C9" w:rsidRPr="00EA48C9" w:rsidRDefault="00EA48C9" w:rsidP="00EA48C9">
      <w:pPr>
        <w:jc w:val="both"/>
        <w:rPr>
          <w:rFonts w:ascii="Arial" w:hAnsi="Arial" w:cs="Arial"/>
          <w:sz w:val="22"/>
          <w:szCs w:val="22"/>
        </w:rPr>
      </w:pPr>
      <w:r w:rsidRPr="00EA48C9">
        <w:rPr>
          <w:rFonts w:ascii="Arial" w:hAnsi="Arial" w:cs="Arial"/>
          <w:b/>
          <w:bCs/>
          <w:sz w:val="22"/>
          <w:szCs w:val="22"/>
        </w:rPr>
        <w:t>6.4</w:t>
      </w:r>
      <w:r w:rsidRPr="00EA48C9">
        <w:rPr>
          <w:rFonts w:ascii="Arial" w:hAnsi="Arial" w:cs="Arial"/>
          <w:sz w:val="22"/>
          <w:szCs w:val="22"/>
        </w:rPr>
        <w:tab/>
        <w:t>Acceptance by the Licensor of the last payment due under this Agreement shall operate as a release of all claims against the State by the Licensor and any subcontractors or other persons supplying labor or materials used in the performance of the work under this Agreement.</w:t>
      </w:r>
    </w:p>
    <w:p w14:paraId="525F5A63" w14:textId="77777777" w:rsidR="00EA48C9" w:rsidRPr="00EA48C9" w:rsidRDefault="00EA48C9" w:rsidP="00EA48C9">
      <w:pPr>
        <w:jc w:val="both"/>
        <w:rPr>
          <w:rFonts w:ascii="Arial" w:hAnsi="Arial" w:cs="Arial"/>
          <w:sz w:val="22"/>
          <w:szCs w:val="22"/>
        </w:rPr>
      </w:pPr>
    </w:p>
    <w:p w14:paraId="2F1B5EE2" w14:textId="77777777" w:rsidR="00EA48C9" w:rsidRPr="00EA48C9" w:rsidRDefault="00EA48C9" w:rsidP="00EA48C9">
      <w:pPr>
        <w:jc w:val="both"/>
        <w:rPr>
          <w:rFonts w:ascii="Arial" w:hAnsi="Arial" w:cs="Arial"/>
          <w:b/>
          <w:sz w:val="22"/>
          <w:szCs w:val="22"/>
        </w:rPr>
      </w:pPr>
      <w:bookmarkStart w:id="218" w:name="agencycode44"/>
      <w:bookmarkStart w:id="219" w:name="totalcompensation"/>
      <w:bookmarkStart w:id="220" w:name="agencycode45"/>
      <w:bookmarkStart w:id="221" w:name="agencycode46"/>
      <w:bookmarkStart w:id="222" w:name="agencycode47"/>
      <w:bookmarkStart w:id="223" w:name="agencycode48"/>
      <w:bookmarkStart w:id="224" w:name="agencycode49"/>
      <w:bookmarkStart w:id="225" w:name="agencycode50"/>
      <w:bookmarkEnd w:id="218"/>
      <w:bookmarkEnd w:id="219"/>
      <w:bookmarkEnd w:id="220"/>
      <w:bookmarkEnd w:id="221"/>
      <w:bookmarkEnd w:id="222"/>
      <w:bookmarkEnd w:id="223"/>
      <w:bookmarkEnd w:id="224"/>
      <w:bookmarkEnd w:id="225"/>
      <w:r w:rsidRPr="00EA48C9">
        <w:rPr>
          <w:rFonts w:ascii="Arial" w:hAnsi="Arial" w:cs="Arial"/>
          <w:b/>
          <w:sz w:val="22"/>
          <w:szCs w:val="22"/>
        </w:rPr>
        <w:t>ARTICLE 7</w:t>
      </w:r>
      <w:r w:rsidRPr="00EA48C9">
        <w:rPr>
          <w:rFonts w:ascii="Arial" w:hAnsi="Arial" w:cs="Arial"/>
          <w:b/>
          <w:sz w:val="22"/>
          <w:szCs w:val="22"/>
        </w:rPr>
        <w:tab/>
        <w:t>WARRANTY</w:t>
      </w:r>
    </w:p>
    <w:p w14:paraId="4813D28D"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w:t>
      </w:r>
      <w:r w:rsidRPr="00EA48C9">
        <w:rPr>
          <w:rFonts w:ascii="Arial" w:hAnsi="Arial" w:cs="Arial"/>
          <w:sz w:val="22"/>
          <w:szCs w:val="22"/>
        </w:rPr>
        <w:tab/>
        <w:t>Licensor represents and warrants that it has the right to license the Products provided under this Agreement.</w:t>
      </w:r>
    </w:p>
    <w:p w14:paraId="3B814BE1" w14:textId="77777777" w:rsidR="00EA48C9" w:rsidRPr="00EA48C9" w:rsidRDefault="00EA48C9" w:rsidP="00EA48C9">
      <w:pPr>
        <w:jc w:val="both"/>
        <w:rPr>
          <w:rFonts w:ascii="Arial" w:hAnsi="Arial" w:cs="Arial"/>
          <w:sz w:val="22"/>
          <w:szCs w:val="22"/>
        </w:rPr>
      </w:pPr>
    </w:p>
    <w:p w14:paraId="6A48DCB7"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7.2</w:t>
      </w:r>
      <w:r w:rsidRPr="00EA48C9">
        <w:rPr>
          <w:rFonts w:ascii="Arial" w:hAnsi="Arial" w:cs="Arial"/>
          <w:sz w:val="22"/>
          <w:szCs w:val="22"/>
        </w:rPr>
        <w:tab/>
        <w:t xml:space="preserve">Licensor represents and warrants that the Products provided by Licensor shall meet or exceed the minimum specifications set forth in RFP No. </w:t>
      </w:r>
      <w:bookmarkStart w:id="226" w:name="rfpnumber2"/>
      <w:bookmarkEnd w:id="226"/>
      <w:r w:rsidR="00460508">
        <w:rPr>
          <w:rFonts w:ascii="Arial" w:hAnsi="Arial" w:cs="Arial"/>
          <w:sz w:val="22"/>
          <w:szCs w:val="22"/>
        </w:rPr>
        <w:t>3990</w:t>
      </w:r>
      <w:r w:rsidRPr="00EA48C9">
        <w:rPr>
          <w:rFonts w:ascii="Arial" w:hAnsi="Arial" w:cs="Arial"/>
          <w:sz w:val="22"/>
          <w:szCs w:val="22"/>
        </w:rPr>
        <w:t xml:space="preserve"> and Licensor’s Proposal, as accepted by the State, in response thereto.</w:t>
      </w:r>
    </w:p>
    <w:p w14:paraId="08483A7E" w14:textId="77777777" w:rsidR="00EA48C9" w:rsidRPr="00EA48C9" w:rsidRDefault="00EA48C9" w:rsidP="00EA48C9">
      <w:pPr>
        <w:jc w:val="both"/>
        <w:rPr>
          <w:rFonts w:ascii="Arial" w:hAnsi="Arial" w:cs="Arial"/>
          <w:sz w:val="22"/>
          <w:szCs w:val="22"/>
        </w:rPr>
      </w:pPr>
    </w:p>
    <w:p w14:paraId="55F8975D"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7.3</w:t>
      </w:r>
      <w:r w:rsidRPr="00EA48C9">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t>
      </w:r>
      <w:r w:rsidRPr="00EA48C9">
        <w:rPr>
          <w:rFonts w:ascii="Arial" w:hAnsi="Arial" w:cs="Arial"/>
          <w:sz w:val="22"/>
          <w:szCs w:val="22"/>
        </w:rPr>
        <w:lastRenderedPageBreak/>
        <w:t xml:space="preserve">within ten (10) business days of receiving notice of the Defect from the State, unless </w:t>
      </w:r>
      <w:bookmarkStart w:id="227" w:name="agencycode51"/>
      <w:bookmarkEnd w:id="227"/>
      <w:r w:rsidRPr="00EA48C9">
        <w:rPr>
          <w:rFonts w:ascii="Arial" w:hAnsi="Arial" w:cs="Arial"/>
          <w:sz w:val="22"/>
          <w:szCs w:val="22"/>
        </w:rPr>
        <w:t xml:space="preserve">MDWFP consents in writing to a longer period of repair time. In the event Licensor is unable to repair or replace the Software within the mutually agreed upon time frame after receipt of notice of the Defect, </w:t>
      </w:r>
      <w:bookmarkStart w:id="228" w:name="agencycode52"/>
      <w:bookmarkEnd w:id="228"/>
      <w:r w:rsidRPr="00EA48C9">
        <w:rPr>
          <w:rFonts w:ascii="Arial" w:hAnsi="Arial" w:cs="Arial"/>
          <w:sz w:val="22"/>
          <w:szCs w:val="22"/>
        </w:rPr>
        <w:t xml:space="preserve">MDWFP shall be entitled to a full refund of fees paid and shall have the right to terminate this Agreement in whole or in part as provided for in the Termination Article herein. Licensee’s rights hereunder are in addition to any other rights Licensee may have. </w:t>
      </w:r>
    </w:p>
    <w:p w14:paraId="3CD3AF57" w14:textId="77777777" w:rsidR="00EA48C9" w:rsidRPr="00EA48C9" w:rsidRDefault="00EA48C9" w:rsidP="00EA48C9">
      <w:pPr>
        <w:jc w:val="both"/>
        <w:rPr>
          <w:rFonts w:ascii="Arial" w:hAnsi="Arial" w:cs="Arial"/>
          <w:sz w:val="22"/>
          <w:szCs w:val="22"/>
        </w:rPr>
      </w:pPr>
    </w:p>
    <w:p w14:paraId="1FFA6D4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7.4</w:t>
      </w:r>
      <w:r w:rsidRPr="00EA48C9">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654014DD" w14:textId="77777777" w:rsidR="00EA48C9" w:rsidRPr="00EA48C9" w:rsidRDefault="00EA48C9" w:rsidP="00EA48C9">
      <w:pPr>
        <w:jc w:val="both"/>
        <w:rPr>
          <w:rFonts w:ascii="Arial" w:hAnsi="Arial" w:cs="Arial"/>
          <w:sz w:val="22"/>
          <w:szCs w:val="22"/>
        </w:rPr>
      </w:pPr>
    </w:p>
    <w:p w14:paraId="666D3FB8"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7.5</w:t>
      </w:r>
      <w:r w:rsidRPr="00EA48C9">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08326318" w14:textId="77777777" w:rsidR="00EA48C9" w:rsidRPr="00EA48C9" w:rsidRDefault="00EA48C9" w:rsidP="00EA48C9">
      <w:pPr>
        <w:jc w:val="both"/>
        <w:rPr>
          <w:rFonts w:ascii="Arial" w:hAnsi="Arial" w:cs="Arial"/>
          <w:sz w:val="22"/>
          <w:szCs w:val="22"/>
        </w:rPr>
      </w:pPr>
    </w:p>
    <w:p w14:paraId="10103CC1"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7.6</w:t>
      </w:r>
      <w:r w:rsidRPr="00EA48C9">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59F771F5" w14:textId="77777777" w:rsidR="00EA48C9" w:rsidRPr="00EA48C9" w:rsidRDefault="00EA48C9" w:rsidP="00EA48C9">
      <w:pPr>
        <w:jc w:val="both"/>
        <w:rPr>
          <w:rFonts w:ascii="Arial" w:hAnsi="Arial" w:cs="Arial"/>
          <w:sz w:val="22"/>
          <w:szCs w:val="22"/>
        </w:rPr>
      </w:pPr>
    </w:p>
    <w:p w14:paraId="04DBA68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7.7</w:t>
      </w:r>
      <w:r w:rsidRPr="00EA48C9">
        <w:rPr>
          <w:rFonts w:ascii="Arial" w:hAnsi="Arial" w:cs="Arial"/>
          <w:sz w:val="22"/>
          <w:szCs w:val="22"/>
        </w:rPr>
        <w:tab/>
        <w:t xml:space="preserve">The Licensor represents and warrants that, upon completion of the project, the Licensor, and all subcontractors, if any, shall convey to </w:t>
      </w:r>
      <w:bookmarkStart w:id="229" w:name="agencycode53"/>
      <w:bookmarkEnd w:id="229"/>
      <w:r w:rsidRPr="00EA48C9">
        <w:rPr>
          <w:rFonts w:ascii="Arial" w:hAnsi="Arial" w:cs="Arial"/>
          <w:sz w:val="22"/>
          <w:szCs w:val="22"/>
        </w:rPr>
        <w:t>MDWFP copies of all interim reports, cost records, data collection forms, and any working papers that support the final acceptance.</w:t>
      </w:r>
    </w:p>
    <w:p w14:paraId="7990AA23" w14:textId="77777777" w:rsidR="00EA48C9" w:rsidRPr="00EA48C9" w:rsidRDefault="00EA48C9" w:rsidP="00EA48C9">
      <w:pPr>
        <w:jc w:val="both"/>
        <w:rPr>
          <w:rFonts w:ascii="Arial" w:hAnsi="Arial" w:cs="Arial"/>
          <w:sz w:val="22"/>
          <w:szCs w:val="22"/>
        </w:rPr>
      </w:pPr>
    </w:p>
    <w:p w14:paraId="3DDBEEC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7.8</w:t>
      </w:r>
      <w:r w:rsidRPr="00EA48C9">
        <w:rPr>
          <w:rFonts w:ascii="Arial" w:hAnsi="Arial" w:cs="Arial"/>
          <w:sz w:val="22"/>
          <w:szCs w:val="22"/>
        </w:rPr>
        <w:tab/>
        <w:t xml:space="preserve">Licensor represents and warrants that it has obtained all necessary rights to permit use of the graphics on the site and that the Licensor shall provide </w:t>
      </w:r>
      <w:bookmarkStart w:id="230" w:name="agencycode54"/>
      <w:bookmarkEnd w:id="230"/>
      <w:r w:rsidRPr="00EA48C9">
        <w:rPr>
          <w:rFonts w:ascii="Arial" w:hAnsi="Arial" w:cs="Arial"/>
          <w:sz w:val="22"/>
          <w:szCs w:val="22"/>
        </w:rPr>
        <w:t>MDWFP with evidentiary proof of graphic licenses and releases. Further, the Licensor represents and warrants that all Licensor-supplied graphics and content contains no scandalous or libelous material.</w:t>
      </w:r>
    </w:p>
    <w:p w14:paraId="3964686A" w14:textId="77777777" w:rsidR="00EA48C9" w:rsidRPr="00EA48C9" w:rsidRDefault="00EA48C9" w:rsidP="00EA48C9">
      <w:pPr>
        <w:jc w:val="both"/>
        <w:rPr>
          <w:rFonts w:ascii="Arial" w:hAnsi="Arial" w:cs="Arial"/>
          <w:sz w:val="22"/>
          <w:szCs w:val="22"/>
        </w:rPr>
      </w:pPr>
    </w:p>
    <w:p w14:paraId="5C068AB7"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7.9</w:t>
      </w:r>
      <w:r w:rsidRPr="00EA48C9">
        <w:rPr>
          <w:rFonts w:ascii="Arial" w:hAnsi="Arial" w:cs="Arial"/>
          <w:sz w:val="22"/>
          <w:szCs w:val="22"/>
        </w:rPr>
        <w:tab/>
        <w:t xml:space="preserve">The Licensor represents and warrants that the deliverables provided to </w:t>
      </w:r>
      <w:bookmarkStart w:id="231" w:name="agencycode55"/>
      <w:bookmarkEnd w:id="231"/>
      <w:r w:rsidRPr="00EA48C9">
        <w:rPr>
          <w:rFonts w:ascii="Arial" w:hAnsi="Arial" w:cs="Arial"/>
          <w:sz w:val="22"/>
          <w:szCs w:val="22"/>
        </w:rPr>
        <w:t xml:space="preserve">MDWFP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w:t>
      </w:r>
      <w:r w:rsidRPr="00EA48C9">
        <w:rPr>
          <w:rFonts w:ascii="Arial" w:hAnsi="Arial" w:cs="Arial"/>
          <w:sz w:val="22"/>
          <w:szCs w:val="22"/>
        </w:rPr>
        <w:lastRenderedPageBreak/>
        <w:t>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02047104" w14:textId="77777777" w:rsidR="00EA48C9" w:rsidRPr="00EA48C9" w:rsidRDefault="00EA48C9" w:rsidP="00EA48C9">
      <w:pPr>
        <w:jc w:val="both"/>
        <w:rPr>
          <w:rFonts w:ascii="Arial" w:hAnsi="Arial" w:cs="Arial"/>
          <w:sz w:val="22"/>
          <w:szCs w:val="22"/>
        </w:rPr>
      </w:pPr>
    </w:p>
    <w:p w14:paraId="7F70547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7.10</w:t>
      </w:r>
      <w:r w:rsidRPr="00EA48C9">
        <w:rPr>
          <w:rFonts w:ascii="Arial" w:hAnsi="Arial" w:cs="Arial"/>
          <w:sz w:val="22"/>
          <w:szCs w:val="22"/>
        </w:rPr>
        <w:tab/>
        <w:t xml:space="preserve">Licensor represents and warrants that the host site provided by the Licensor shall be reasonably expandable and scalable so </w:t>
      </w:r>
      <w:bookmarkStart w:id="232" w:name="agencycode56"/>
      <w:bookmarkEnd w:id="232"/>
      <w:r w:rsidRPr="00EA48C9">
        <w:rPr>
          <w:rFonts w:ascii="Arial" w:hAnsi="Arial" w:cs="Arial"/>
          <w:sz w:val="22"/>
          <w:szCs w:val="22"/>
        </w:rPr>
        <w:t xml:space="preserve">MDWFP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3" w:name="agencycode57"/>
      <w:bookmarkEnd w:id="233"/>
      <w:r w:rsidRPr="00EA48C9">
        <w:rPr>
          <w:rFonts w:ascii="Arial" w:hAnsi="Arial" w:cs="Arial"/>
          <w:sz w:val="22"/>
          <w:szCs w:val="22"/>
        </w:rPr>
        <w:t xml:space="preserve">MDWFP at no additional cost to </w:t>
      </w:r>
      <w:bookmarkStart w:id="234" w:name="agencycode58"/>
      <w:bookmarkEnd w:id="234"/>
      <w:r w:rsidRPr="00EA48C9">
        <w:rPr>
          <w:rFonts w:ascii="Arial" w:hAnsi="Arial" w:cs="Arial"/>
          <w:sz w:val="22"/>
          <w:szCs w:val="22"/>
        </w:rPr>
        <w:t>MDWFP.</w:t>
      </w:r>
    </w:p>
    <w:p w14:paraId="1364FA94"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 </w:t>
      </w:r>
    </w:p>
    <w:p w14:paraId="23EDC3B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7.11</w:t>
      </w:r>
      <w:r w:rsidRPr="00EA48C9">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737A86BE" w14:textId="77777777" w:rsidR="00EA48C9" w:rsidRPr="00EA48C9" w:rsidRDefault="00EA48C9" w:rsidP="00EA48C9">
      <w:pPr>
        <w:jc w:val="both"/>
        <w:rPr>
          <w:rFonts w:ascii="Arial" w:hAnsi="Arial" w:cs="Arial"/>
          <w:sz w:val="22"/>
          <w:szCs w:val="22"/>
        </w:rPr>
      </w:pPr>
    </w:p>
    <w:p w14:paraId="3E900E80"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7.12</w:t>
      </w:r>
      <w:r w:rsidRPr="00EA48C9">
        <w:rPr>
          <w:rFonts w:ascii="Arial" w:hAnsi="Arial" w:cs="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3789187F" w14:textId="77777777" w:rsidR="00EA48C9" w:rsidRPr="00EA48C9" w:rsidRDefault="00EA48C9" w:rsidP="00EA48C9">
      <w:pPr>
        <w:jc w:val="both"/>
        <w:rPr>
          <w:rFonts w:ascii="Arial" w:hAnsi="Arial" w:cs="Arial"/>
          <w:sz w:val="22"/>
          <w:szCs w:val="22"/>
        </w:rPr>
      </w:pPr>
    </w:p>
    <w:p w14:paraId="217D8B5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7.13</w:t>
      </w:r>
      <w:r w:rsidRPr="00EA48C9">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685856B5" w14:textId="77777777" w:rsidR="00EA48C9" w:rsidRPr="00EA48C9" w:rsidRDefault="00EA48C9" w:rsidP="00EA48C9">
      <w:pPr>
        <w:jc w:val="both"/>
        <w:rPr>
          <w:rFonts w:ascii="Arial" w:hAnsi="Arial" w:cs="Arial"/>
          <w:sz w:val="22"/>
          <w:szCs w:val="22"/>
        </w:rPr>
      </w:pPr>
    </w:p>
    <w:p w14:paraId="20035B7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7.14</w:t>
      </w:r>
      <w:r w:rsidRPr="00EA48C9">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3BD975F2" w14:textId="77777777" w:rsidR="00EA48C9" w:rsidRPr="00EA48C9" w:rsidRDefault="00EA48C9" w:rsidP="00EA48C9">
      <w:pPr>
        <w:jc w:val="both"/>
        <w:rPr>
          <w:rFonts w:ascii="Arial" w:hAnsi="Arial" w:cs="Arial"/>
          <w:sz w:val="22"/>
          <w:szCs w:val="22"/>
        </w:rPr>
      </w:pPr>
    </w:p>
    <w:p w14:paraId="208E8CD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7.15</w:t>
      </w:r>
      <w:r w:rsidRPr="00EA48C9">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17BE22B2" w14:textId="77777777" w:rsidR="00EA48C9" w:rsidRPr="00EA48C9" w:rsidRDefault="00EA48C9" w:rsidP="00EA48C9">
      <w:pPr>
        <w:jc w:val="both"/>
        <w:rPr>
          <w:rFonts w:ascii="Arial" w:hAnsi="Arial" w:cs="Arial"/>
          <w:sz w:val="22"/>
          <w:szCs w:val="22"/>
        </w:rPr>
      </w:pPr>
    </w:p>
    <w:p w14:paraId="7445D38A"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8</w:t>
      </w:r>
      <w:r w:rsidRPr="00EA48C9">
        <w:rPr>
          <w:rFonts w:ascii="Arial" w:hAnsi="Arial" w:cs="Arial"/>
          <w:b/>
          <w:sz w:val="22"/>
          <w:szCs w:val="22"/>
        </w:rPr>
        <w:tab/>
        <w:t>EMPLOYMENT STATUS</w:t>
      </w:r>
    </w:p>
    <w:p w14:paraId="35D13CE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8.1</w:t>
      </w:r>
      <w:r w:rsidRPr="00EA48C9">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71A8026" w14:textId="77777777" w:rsidR="00EA48C9" w:rsidRPr="00EA48C9" w:rsidRDefault="00EA48C9" w:rsidP="00EA48C9">
      <w:pPr>
        <w:jc w:val="both"/>
        <w:rPr>
          <w:rFonts w:ascii="Arial" w:hAnsi="Arial" w:cs="Arial"/>
          <w:sz w:val="22"/>
          <w:szCs w:val="22"/>
        </w:rPr>
      </w:pPr>
    </w:p>
    <w:p w14:paraId="0EB312E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8.2</w:t>
      </w:r>
      <w:r w:rsidRPr="00EA48C9">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06E95E13" w14:textId="77777777" w:rsidR="00EA48C9" w:rsidRPr="00EA48C9" w:rsidRDefault="00EA48C9" w:rsidP="00EA48C9">
      <w:pPr>
        <w:jc w:val="both"/>
        <w:rPr>
          <w:rFonts w:ascii="Arial" w:hAnsi="Arial" w:cs="Arial"/>
          <w:sz w:val="22"/>
          <w:szCs w:val="22"/>
        </w:rPr>
      </w:pPr>
    </w:p>
    <w:p w14:paraId="41CAA1D2"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8.3</w:t>
      </w:r>
      <w:r w:rsidRPr="00EA48C9">
        <w:rPr>
          <w:rFonts w:ascii="Arial" w:hAnsi="Arial" w:cs="Arial"/>
          <w:sz w:val="22"/>
          <w:szCs w:val="22"/>
        </w:rPr>
        <w:tab/>
        <w:t xml:space="preserve">Any person assigned by Licensor to perform the Services hereunder shall be the employee of Licensor, who shall have the sole right to hire and discharge its employee. Licensee </w:t>
      </w:r>
      <w:r w:rsidRPr="00EA48C9">
        <w:rPr>
          <w:rFonts w:ascii="Arial" w:hAnsi="Arial" w:cs="Arial"/>
          <w:sz w:val="22"/>
          <w:szCs w:val="22"/>
        </w:rPr>
        <w:lastRenderedPageBreak/>
        <w:t xml:space="preserve">may, however, direct Licensor to replace any of its employees under this Agreement. </w:t>
      </w:r>
    </w:p>
    <w:p w14:paraId="15AEC17E" w14:textId="77777777" w:rsidR="00EA48C9" w:rsidRPr="00EA48C9" w:rsidRDefault="00EA48C9" w:rsidP="00EA48C9">
      <w:pPr>
        <w:jc w:val="both"/>
        <w:rPr>
          <w:rFonts w:ascii="Arial" w:hAnsi="Arial" w:cs="Arial"/>
          <w:sz w:val="22"/>
          <w:szCs w:val="22"/>
        </w:rPr>
      </w:pPr>
    </w:p>
    <w:p w14:paraId="6C41CE32"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8.4</w:t>
      </w:r>
      <w:r w:rsidRPr="00EA48C9">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39042AF" w14:textId="77777777" w:rsidR="00EA48C9" w:rsidRPr="00EA48C9" w:rsidRDefault="00EA48C9" w:rsidP="00EA48C9">
      <w:pPr>
        <w:jc w:val="both"/>
        <w:rPr>
          <w:rFonts w:ascii="Arial" w:hAnsi="Arial" w:cs="Arial"/>
          <w:sz w:val="22"/>
          <w:szCs w:val="22"/>
        </w:rPr>
      </w:pPr>
    </w:p>
    <w:p w14:paraId="405B0A6B"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9</w:t>
      </w:r>
      <w:r w:rsidRPr="00EA48C9">
        <w:rPr>
          <w:rFonts w:ascii="Arial" w:hAnsi="Arial" w:cs="Arial"/>
          <w:b/>
          <w:sz w:val="22"/>
          <w:szCs w:val="22"/>
        </w:rPr>
        <w:tab/>
        <w:t>BEHAVIOR OF EMPLOYEES/SUBCONTRACTORS</w:t>
      </w:r>
    </w:p>
    <w:p w14:paraId="7FAB7259"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6F4ECB79" w14:textId="77777777" w:rsidR="00EA48C9" w:rsidRPr="00EA48C9" w:rsidRDefault="00EA48C9" w:rsidP="00EA48C9">
      <w:pPr>
        <w:jc w:val="both"/>
        <w:rPr>
          <w:rFonts w:ascii="Arial" w:hAnsi="Arial" w:cs="Arial"/>
          <w:sz w:val="22"/>
          <w:szCs w:val="22"/>
        </w:rPr>
      </w:pPr>
    </w:p>
    <w:p w14:paraId="3CE0C6A3"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10</w:t>
      </w:r>
      <w:r w:rsidRPr="00EA48C9">
        <w:rPr>
          <w:rFonts w:ascii="Arial" w:hAnsi="Arial" w:cs="Arial"/>
          <w:b/>
          <w:sz w:val="22"/>
          <w:szCs w:val="22"/>
        </w:rPr>
        <w:tab/>
        <w:t>MODIFICATION OR RENEGOTIATION</w:t>
      </w:r>
    </w:p>
    <w:p w14:paraId="1631216D"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75DC0DA3" w14:textId="77777777" w:rsidR="00EA48C9" w:rsidRPr="00EA48C9" w:rsidRDefault="00EA48C9" w:rsidP="00EA48C9">
      <w:pPr>
        <w:jc w:val="both"/>
        <w:rPr>
          <w:rFonts w:ascii="Arial" w:hAnsi="Arial" w:cs="Arial"/>
          <w:sz w:val="22"/>
          <w:szCs w:val="22"/>
        </w:rPr>
      </w:pPr>
    </w:p>
    <w:p w14:paraId="16042B84"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11</w:t>
      </w:r>
      <w:r w:rsidRPr="00EA48C9">
        <w:rPr>
          <w:rFonts w:ascii="Arial" w:hAnsi="Arial" w:cs="Arial"/>
          <w:b/>
          <w:sz w:val="22"/>
          <w:szCs w:val="22"/>
        </w:rPr>
        <w:tab/>
        <w:t>AUTHORITY, ASSIGNMENT AND SUBCONTRACTS</w:t>
      </w:r>
    </w:p>
    <w:p w14:paraId="39061FD3"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11.1</w:t>
      </w:r>
      <w:r w:rsidRPr="00EA48C9">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3AFFB652" w14:textId="77777777" w:rsidR="00EA48C9" w:rsidRPr="00EA48C9" w:rsidRDefault="00EA48C9" w:rsidP="00EA48C9">
      <w:pPr>
        <w:jc w:val="both"/>
        <w:rPr>
          <w:rFonts w:ascii="Arial" w:hAnsi="Arial" w:cs="Arial"/>
          <w:sz w:val="22"/>
          <w:szCs w:val="22"/>
        </w:rPr>
      </w:pPr>
    </w:p>
    <w:p w14:paraId="7F024B5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11.2</w:t>
      </w:r>
      <w:r w:rsidRPr="00EA48C9">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16123E5A" w14:textId="77777777" w:rsidR="00EA48C9" w:rsidRPr="00EA48C9" w:rsidRDefault="00EA48C9" w:rsidP="00EA48C9">
      <w:pPr>
        <w:jc w:val="both"/>
        <w:rPr>
          <w:rFonts w:ascii="Arial" w:hAnsi="Arial" w:cs="Arial"/>
          <w:sz w:val="22"/>
          <w:szCs w:val="22"/>
        </w:rPr>
      </w:pPr>
    </w:p>
    <w:p w14:paraId="54EEB712"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11.3</w:t>
      </w:r>
      <w:r w:rsidRPr="00EA48C9">
        <w:rPr>
          <w:rFonts w:ascii="Arial" w:hAnsi="Arial" w:cs="Arial"/>
          <w:sz w:val="22"/>
          <w:szCs w:val="22"/>
        </w:rPr>
        <w:tab/>
        <w:t xml:space="preserve">Licensor must obtain the written approval of </w:t>
      </w:r>
      <w:bookmarkStart w:id="235" w:name="agencycode59"/>
      <w:bookmarkEnd w:id="235"/>
      <w:r w:rsidRPr="00EA48C9">
        <w:rPr>
          <w:rFonts w:ascii="Arial" w:hAnsi="Arial" w:cs="Arial"/>
          <w:sz w:val="22"/>
          <w:szCs w:val="22"/>
        </w:rPr>
        <w:t xml:space="preserve">MDWFP before subcontracting any portion of this Agreement. No such approval by </w:t>
      </w:r>
      <w:bookmarkStart w:id="236" w:name="agencycode60"/>
      <w:bookmarkEnd w:id="236"/>
      <w:r w:rsidRPr="00EA48C9">
        <w:rPr>
          <w:rFonts w:ascii="Arial" w:hAnsi="Arial" w:cs="Arial"/>
          <w:sz w:val="22"/>
          <w:szCs w:val="22"/>
        </w:rPr>
        <w:t xml:space="preserve">MDWFP of any subcontract shall be deemed in any way to provide for the incurrence of any obligation of </w:t>
      </w:r>
      <w:bookmarkStart w:id="237" w:name="agencycode61"/>
      <w:bookmarkEnd w:id="237"/>
      <w:r w:rsidRPr="00EA48C9">
        <w:rPr>
          <w:rFonts w:ascii="Arial" w:hAnsi="Arial" w:cs="Arial"/>
          <w:sz w:val="22"/>
          <w:szCs w:val="22"/>
        </w:rPr>
        <w:t xml:space="preserve">MDWFP in addition to the total fixed price agreed upon in this Agreement. All subcontracts shall incorporate the terms of this Agreement and shall be subject to the terms and conditions of this Agreement and to any conditions of approval that </w:t>
      </w:r>
      <w:bookmarkStart w:id="238" w:name="agencycode62"/>
      <w:bookmarkEnd w:id="238"/>
      <w:r w:rsidRPr="00EA48C9">
        <w:rPr>
          <w:rFonts w:ascii="Arial" w:hAnsi="Arial" w:cs="Arial"/>
          <w:sz w:val="22"/>
          <w:szCs w:val="22"/>
        </w:rPr>
        <w:t>MDWFP may deem necessary.</w:t>
      </w:r>
    </w:p>
    <w:p w14:paraId="64F2061A" w14:textId="77777777" w:rsidR="00EA48C9" w:rsidRPr="00EA48C9" w:rsidRDefault="00EA48C9" w:rsidP="00EA48C9">
      <w:pPr>
        <w:jc w:val="both"/>
        <w:rPr>
          <w:rFonts w:ascii="Arial" w:hAnsi="Arial" w:cs="Arial"/>
          <w:sz w:val="22"/>
          <w:szCs w:val="22"/>
        </w:rPr>
      </w:pPr>
    </w:p>
    <w:p w14:paraId="33E1081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11.4</w:t>
      </w:r>
      <w:r w:rsidRPr="00EA48C9">
        <w:rPr>
          <w:rFonts w:ascii="Arial" w:hAnsi="Arial" w:cs="Arial"/>
          <w:sz w:val="22"/>
          <w:szCs w:val="22"/>
        </w:rPr>
        <w:tab/>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w:t>
      </w:r>
      <w:r w:rsidRPr="00EA48C9">
        <w:rPr>
          <w:rFonts w:ascii="Arial" w:hAnsi="Arial" w:cs="Arial"/>
          <w:sz w:val="22"/>
          <w:szCs w:val="22"/>
        </w:rPr>
        <w:lastRenderedPageBreak/>
        <w:t>damages, losses, costs and expenses of every kind and nature whatsoever arising as a result of Licensor’s failure to pay any and all amounts due by Licensor to any subcontractor, third party licensor, materialman, laborer or the like.</w:t>
      </w:r>
    </w:p>
    <w:p w14:paraId="5B00ECE4" w14:textId="77777777" w:rsidR="00EA48C9" w:rsidRPr="00EA48C9" w:rsidRDefault="00EA48C9" w:rsidP="00EA48C9">
      <w:pPr>
        <w:jc w:val="both"/>
        <w:rPr>
          <w:rFonts w:ascii="Arial" w:hAnsi="Arial" w:cs="Arial"/>
          <w:sz w:val="22"/>
          <w:szCs w:val="22"/>
        </w:rPr>
      </w:pPr>
    </w:p>
    <w:p w14:paraId="4D8CD50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11.5</w:t>
      </w:r>
      <w:r w:rsidRPr="00EA48C9">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2ED60E9E" w14:textId="77777777" w:rsidR="00EA48C9" w:rsidRPr="00EA48C9" w:rsidRDefault="00EA48C9" w:rsidP="00EA48C9">
      <w:pPr>
        <w:jc w:val="both"/>
        <w:rPr>
          <w:rFonts w:ascii="Arial" w:hAnsi="Arial" w:cs="Arial"/>
          <w:sz w:val="22"/>
          <w:szCs w:val="22"/>
        </w:rPr>
      </w:pPr>
    </w:p>
    <w:p w14:paraId="64FB9465"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12</w:t>
      </w:r>
      <w:r w:rsidRPr="00EA48C9">
        <w:rPr>
          <w:rFonts w:ascii="Arial" w:hAnsi="Arial" w:cs="Arial"/>
          <w:b/>
          <w:sz w:val="22"/>
          <w:szCs w:val="22"/>
        </w:rPr>
        <w:tab/>
        <w:t>AVAILABILITY OF FUNDS</w:t>
      </w:r>
    </w:p>
    <w:p w14:paraId="2278CE1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It is expressly understood and agreed that the obligation of </w:t>
      </w:r>
      <w:bookmarkStart w:id="239" w:name="agencycode63"/>
      <w:bookmarkEnd w:id="239"/>
      <w:r w:rsidRPr="00EA48C9">
        <w:rPr>
          <w:rFonts w:ascii="Arial" w:hAnsi="Arial" w:cs="Arial"/>
          <w:sz w:val="22"/>
          <w:szCs w:val="22"/>
        </w:rPr>
        <w:t xml:space="preserve">MDWFP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0" w:name="agencycode64"/>
      <w:bookmarkEnd w:id="240"/>
      <w:r w:rsidRPr="00EA48C9">
        <w:rPr>
          <w:rFonts w:ascii="Arial" w:hAnsi="Arial" w:cs="Arial"/>
          <w:sz w:val="22"/>
          <w:szCs w:val="22"/>
        </w:rPr>
        <w:t xml:space="preserve">MDWFP for the payments or performance due under this Agreement, </w:t>
      </w:r>
      <w:bookmarkStart w:id="241" w:name="agencycode65"/>
      <w:bookmarkEnd w:id="241"/>
      <w:r w:rsidRPr="00EA48C9">
        <w:rPr>
          <w:rFonts w:ascii="Arial" w:hAnsi="Arial" w:cs="Arial"/>
          <w:sz w:val="22"/>
          <w:szCs w:val="22"/>
        </w:rPr>
        <w:t xml:space="preserve">MDWFP  shall have the right to immediately terminate this Agreement, in whole or in part, without damage, penalty, cost or expense to </w:t>
      </w:r>
      <w:bookmarkStart w:id="242" w:name="agencycode66"/>
      <w:bookmarkEnd w:id="242"/>
      <w:r w:rsidRPr="00EA48C9">
        <w:rPr>
          <w:rFonts w:ascii="Arial" w:hAnsi="Arial" w:cs="Arial"/>
          <w:sz w:val="22"/>
          <w:szCs w:val="22"/>
        </w:rPr>
        <w:t xml:space="preserve">MDWFP of any kind whatsoever, except for payment for work completed by Licensor and accepted by </w:t>
      </w:r>
      <w:bookmarkStart w:id="243" w:name="agencycode67"/>
      <w:bookmarkEnd w:id="243"/>
      <w:r w:rsidRPr="00EA48C9">
        <w:rPr>
          <w:rFonts w:ascii="Arial" w:hAnsi="Arial" w:cs="Arial"/>
          <w:sz w:val="22"/>
          <w:szCs w:val="22"/>
        </w:rPr>
        <w:t xml:space="preserve">MDWFP prior to termination. The effective date of termination shall be as specified in the notice of termination. </w:t>
      </w:r>
      <w:bookmarkStart w:id="244" w:name="agencycode68"/>
      <w:bookmarkEnd w:id="244"/>
      <w:r w:rsidRPr="00EA48C9">
        <w:rPr>
          <w:rFonts w:ascii="Arial" w:hAnsi="Arial" w:cs="Arial"/>
          <w:sz w:val="22"/>
          <w:szCs w:val="22"/>
        </w:rPr>
        <w:t>MDWFP shall have the sole right to determine whether funds are available for the payments or performances due under this Agreement.</w:t>
      </w:r>
    </w:p>
    <w:p w14:paraId="0F873BAC" w14:textId="77777777" w:rsidR="00EA48C9" w:rsidRPr="00EA48C9" w:rsidRDefault="00EA48C9" w:rsidP="00EA48C9">
      <w:pPr>
        <w:jc w:val="both"/>
        <w:rPr>
          <w:rFonts w:ascii="Arial" w:hAnsi="Arial" w:cs="Arial"/>
          <w:sz w:val="22"/>
          <w:szCs w:val="22"/>
        </w:rPr>
      </w:pPr>
    </w:p>
    <w:p w14:paraId="5208FDDD"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 xml:space="preserve">ARTICLE 13 </w:t>
      </w:r>
      <w:r w:rsidRPr="00EA48C9">
        <w:rPr>
          <w:rFonts w:ascii="Arial" w:hAnsi="Arial" w:cs="Arial"/>
          <w:b/>
          <w:sz w:val="22"/>
          <w:szCs w:val="22"/>
        </w:rPr>
        <w:tab/>
        <w:t>TERMINATION</w:t>
      </w:r>
    </w:p>
    <w:p w14:paraId="3DFFF2F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13.1</w:t>
      </w:r>
      <w:r w:rsidRPr="00EA48C9">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5" w:name="agencycode69"/>
      <w:bookmarkEnd w:id="245"/>
      <w:r w:rsidRPr="00EA48C9">
        <w:rPr>
          <w:rFonts w:ascii="Arial" w:hAnsi="Arial" w:cs="Arial"/>
          <w:sz w:val="22"/>
          <w:szCs w:val="22"/>
        </w:rPr>
        <w:t xml:space="preserve">MDWFP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6" w:name="agencycode70"/>
      <w:bookmarkEnd w:id="246"/>
      <w:r w:rsidRPr="00EA48C9">
        <w:rPr>
          <w:rFonts w:ascii="Arial" w:hAnsi="Arial" w:cs="Arial"/>
          <w:sz w:val="22"/>
          <w:szCs w:val="22"/>
        </w:rPr>
        <w:t>MDWFP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1F187B85" w14:textId="77777777" w:rsidR="00EA48C9" w:rsidRPr="00EA48C9" w:rsidRDefault="00EA48C9" w:rsidP="00EA48C9">
      <w:pPr>
        <w:jc w:val="both"/>
        <w:rPr>
          <w:rFonts w:ascii="Arial" w:hAnsi="Arial" w:cs="Arial"/>
          <w:sz w:val="22"/>
          <w:szCs w:val="22"/>
        </w:rPr>
      </w:pPr>
    </w:p>
    <w:p w14:paraId="094760FB"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13.2</w:t>
      </w:r>
      <w:r w:rsidRPr="00EA48C9">
        <w:rPr>
          <w:rFonts w:ascii="Arial" w:hAnsi="Arial" w:cs="Arial"/>
          <w:sz w:val="22"/>
          <w:szCs w:val="22"/>
        </w:rPr>
        <w:tab/>
        <w:t xml:space="preserve">In the event </w:t>
      </w:r>
      <w:bookmarkStart w:id="247" w:name="agencycode71"/>
      <w:bookmarkStart w:id="248" w:name="agencycode72"/>
      <w:bookmarkEnd w:id="247"/>
      <w:bookmarkEnd w:id="248"/>
      <w:r w:rsidRPr="00EA48C9">
        <w:rPr>
          <w:rFonts w:ascii="Arial" w:hAnsi="Arial" w:cs="Arial"/>
          <w:sz w:val="22"/>
          <w:szCs w:val="22"/>
        </w:rPr>
        <w:t>of termination/expiration of this Agreement by either party, Licensor shall remit to MDWFP any and all outstanding data and/or funds received by Licensor from MDWFP customers since the last monthly data transmission and/or electronic funds transmission to MDWFP. Further, upon expiration/termination of this Agreement and award to a different vendor subsequent to the procurement process, Licensor agrees to the following:</w:t>
      </w:r>
    </w:p>
    <w:p w14:paraId="1260317D"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(a) Licensor will work with MDWFP and the awarded vendor to minimize any disruption of service;</w:t>
      </w:r>
    </w:p>
    <w:p w14:paraId="0F5733A6"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(b) Licensor will assist with plans to provide business continuity;</w:t>
      </w:r>
    </w:p>
    <w:p w14:paraId="1F65135D"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(c) Licensor will transfer all data (i.e., MDWFP customer data, transaction data, etc.) in Licensor’s database to the awarded vendor;</w:t>
      </w:r>
    </w:p>
    <w:p w14:paraId="03A4A923"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(d) Licensor shall not, without MDWFP’s prior written approval, reduce, remove or modify any functionality of the current system during the transition period;</w:t>
      </w:r>
    </w:p>
    <w:p w14:paraId="5EF948BA"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lastRenderedPageBreak/>
        <w:t>(e) Licensor shall ensure that all current reporting capabilities remain in place throughout the entire conversion process;</w:t>
      </w:r>
    </w:p>
    <w:p w14:paraId="1C67FD6F"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(f) Licensor shall continue to respond and correct in a timely manner any production problems with the current system that may arise during the transition period; and</w:t>
      </w:r>
    </w:p>
    <w:p w14:paraId="5C725A72"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(g) Licensor shall ensure that administrative consoles are available to access for thirty (30) calendar days after the current system has been shut down. </w:t>
      </w:r>
    </w:p>
    <w:p w14:paraId="2A04C06D" w14:textId="77777777" w:rsidR="00EA48C9" w:rsidRPr="00EA48C9" w:rsidRDefault="00EA48C9" w:rsidP="00EA48C9">
      <w:pPr>
        <w:jc w:val="both"/>
        <w:rPr>
          <w:rFonts w:ascii="Arial" w:hAnsi="Arial" w:cs="Arial"/>
          <w:sz w:val="22"/>
          <w:szCs w:val="22"/>
        </w:rPr>
      </w:pPr>
    </w:p>
    <w:p w14:paraId="1356D67D"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 xml:space="preserve">ARTICLE 14 </w:t>
      </w:r>
      <w:r w:rsidRPr="00EA48C9">
        <w:rPr>
          <w:rFonts w:ascii="Arial" w:hAnsi="Arial" w:cs="Arial"/>
          <w:b/>
          <w:sz w:val="22"/>
          <w:szCs w:val="22"/>
        </w:rPr>
        <w:tab/>
        <w:t>GOVERNING LAW</w:t>
      </w:r>
    </w:p>
    <w:p w14:paraId="056F386E"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16D47E39" w14:textId="77777777" w:rsidR="00EA48C9" w:rsidRPr="00EA48C9" w:rsidRDefault="00EA48C9" w:rsidP="00EA48C9">
      <w:pPr>
        <w:jc w:val="both"/>
        <w:rPr>
          <w:rFonts w:ascii="Arial" w:hAnsi="Arial" w:cs="Arial"/>
          <w:sz w:val="22"/>
          <w:szCs w:val="22"/>
        </w:rPr>
      </w:pPr>
    </w:p>
    <w:p w14:paraId="70FB1544"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15</w:t>
      </w:r>
      <w:r w:rsidRPr="00EA48C9">
        <w:rPr>
          <w:rFonts w:ascii="Arial" w:hAnsi="Arial" w:cs="Arial"/>
          <w:b/>
          <w:sz w:val="22"/>
          <w:szCs w:val="22"/>
        </w:rPr>
        <w:tab/>
        <w:t>WAIVER</w:t>
      </w:r>
    </w:p>
    <w:p w14:paraId="6B6BB342"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1DC8D800" w14:textId="77777777" w:rsidR="00EA48C9" w:rsidRPr="00EA48C9" w:rsidRDefault="00EA48C9" w:rsidP="00EA48C9">
      <w:pPr>
        <w:jc w:val="both"/>
        <w:rPr>
          <w:rFonts w:ascii="Arial" w:hAnsi="Arial" w:cs="Arial"/>
          <w:sz w:val="22"/>
          <w:szCs w:val="22"/>
        </w:rPr>
      </w:pPr>
    </w:p>
    <w:p w14:paraId="3D133691"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16</w:t>
      </w:r>
      <w:r w:rsidRPr="00EA48C9">
        <w:rPr>
          <w:rFonts w:ascii="Arial" w:hAnsi="Arial" w:cs="Arial"/>
          <w:b/>
          <w:sz w:val="22"/>
          <w:szCs w:val="22"/>
        </w:rPr>
        <w:tab/>
        <w:t>SEVERABILITY</w:t>
      </w:r>
    </w:p>
    <w:p w14:paraId="252125DB"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03B5F97C" w14:textId="77777777" w:rsidR="00EA48C9" w:rsidRPr="00EA48C9" w:rsidRDefault="00EA48C9" w:rsidP="00EA48C9">
      <w:pPr>
        <w:jc w:val="both"/>
        <w:rPr>
          <w:rFonts w:ascii="Arial" w:hAnsi="Arial" w:cs="Arial"/>
          <w:sz w:val="22"/>
          <w:szCs w:val="22"/>
        </w:rPr>
      </w:pPr>
    </w:p>
    <w:p w14:paraId="7730C2FD"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17</w:t>
      </w:r>
      <w:r w:rsidRPr="00EA48C9">
        <w:rPr>
          <w:rFonts w:ascii="Arial" w:hAnsi="Arial" w:cs="Arial"/>
          <w:b/>
          <w:sz w:val="22"/>
          <w:szCs w:val="22"/>
        </w:rPr>
        <w:tab/>
        <w:t>CAPTIONS</w:t>
      </w:r>
    </w:p>
    <w:p w14:paraId="24B565EA"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The captions or headings in this Agreement are for convenience only, and in no way define, limit or describe the scope or intent of any provision or Article in this Agreement.</w:t>
      </w:r>
    </w:p>
    <w:p w14:paraId="5E137B2D" w14:textId="77777777" w:rsidR="00EA48C9" w:rsidRPr="00EA48C9" w:rsidRDefault="00EA48C9" w:rsidP="00EA48C9">
      <w:pPr>
        <w:jc w:val="both"/>
        <w:rPr>
          <w:rFonts w:ascii="Arial" w:hAnsi="Arial" w:cs="Arial"/>
          <w:sz w:val="22"/>
          <w:szCs w:val="22"/>
        </w:rPr>
      </w:pPr>
    </w:p>
    <w:p w14:paraId="2C695DE4"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18</w:t>
      </w:r>
      <w:r w:rsidRPr="00EA48C9">
        <w:rPr>
          <w:rFonts w:ascii="Arial" w:hAnsi="Arial" w:cs="Arial"/>
          <w:b/>
          <w:sz w:val="22"/>
          <w:szCs w:val="22"/>
        </w:rPr>
        <w:tab/>
        <w:t>HOLD HARMLESS</w:t>
      </w:r>
    </w:p>
    <w:p w14:paraId="6143C6EC"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00333670" w14:textId="77777777" w:rsidR="00EA48C9" w:rsidRPr="00EA48C9" w:rsidRDefault="00EA48C9" w:rsidP="00EA48C9">
      <w:pPr>
        <w:jc w:val="both"/>
        <w:rPr>
          <w:rFonts w:ascii="Arial" w:hAnsi="Arial" w:cs="Arial"/>
          <w:sz w:val="22"/>
          <w:szCs w:val="22"/>
        </w:rPr>
      </w:pPr>
    </w:p>
    <w:p w14:paraId="47BC0CFA"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19</w:t>
      </w:r>
      <w:r w:rsidRPr="00EA48C9">
        <w:rPr>
          <w:rFonts w:ascii="Arial" w:hAnsi="Arial" w:cs="Arial"/>
          <w:b/>
          <w:sz w:val="22"/>
          <w:szCs w:val="22"/>
        </w:rPr>
        <w:tab/>
        <w:t>THIRD PARTY ACTION NOTIFICATION</w:t>
      </w:r>
    </w:p>
    <w:p w14:paraId="144AA5B2"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Licensor shall notify </w:t>
      </w:r>
      <w:bookmarkStart w:id="249" w:name="agencycode73"/>
      <w:bookmarkEnd w:id="249"/>
      <w:r w:rsidRPr="00EA48C9">
        <w:rPr>
          <w:rFonts w:ascii="Arial" w:hAnsi="Arial" w:cs="Arial"/>
          <w:sz w:val="22"/>
          <w:szCs w:val="22"/>
        </w:rPr>
        <w:t xml:space="preserve">MDWFP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0" w:name="agencycode74"/>
      <w:bookmarkEnd w:id="250"/>
      <w:r w:rsidRPr="00EA48C9">
        <w:rPr>
          <w:rFonts w:ascii="Arial" w:hAnsi="Arial" w:cs="Arial"/>
          <w:sz w:val="22"/>
          <w:szCs w:val="22"/>
        </w:rPr>
        <w:t xml:space="preserve">MDWFP by any entity that may result in litigation related in any way to this Agreement and/or </w:t>
      </w:r>
      <w:r w:rsidRPr="00EA48C9">
        <w:rPr>
          <w:rFonts w:ascii="Arial" w:hAnsi="Arial" w:cs="Arial"/>
          <w:sz w:val="22"/>
          <w:szCs w:val="22"/>
        </w:rPr>
        <w:lastRenderedPageBreak/>
        <w:t xml:space="preserve">which may affect the Licensor’s performance under this Agreement. Failure of the Licensor to provide such written notice to </w:t>
      </w:r>
      <w:bookmarkStart w:id="251" w:name="agencycode75"/>
      <w:bookmarkEnd w:id="251"/>
      <w:r w:rsidRPr="00EA48C9">
        <w:rPr>
          <w:rFonts w:ascii="Arial" w:hAnsi="Arial" w:cs="Arial"/>
          <w:sz w:val="22"/>
          <w:szCs w:val="22"/>
        </w:rPr>
        <w:t xml:space="preserve">MDWFP shall be considered a material breach of this Agreement and </w:t>
      </w:r>
      <w:bookmarkStart w:id="252" w:name="agencycode76"/>
      <w:bookmarkEnd w:id="252"/>
      <w:r w:rsidRPr="00EA48C9">
        <w:rPr>
          <w:rFonts w:ascii="Arial" w:hAnsi="Arial" w:cs="Arial"/>
          <w:sz w:val="22"/>
          <w:szCs w:val="22"/>
        </w:rPr>
        <w:t>MDWFP may, at its sole discretion, pursue its rights as set forth in the Termination Article herein and any other rights and remedies it may have at law or in equity.</w:t>
      </w:r>
    </w:p>
    <w:p w14:paraId="0EC35B7C" w14:textId="77777777" w:rsidR="00EA48C9" w:rsidRPr="00EA48C9" w:rsidRDefault="00EA48C9" w:rsidP="00EA48C9">
      <w:pPr>
        <w:jc w:val="both"/>
        <w:rPr>
          <w:rFonts w:ascii="Arial" w:hAnsi="Arial" w:cs="Arial"/>
          <w:sz w:val="22"/>
          <w:szCs w:val="22"/>
        </w:rPr>
      </w:pPr>
    </w:p>
    <w:p w14:paraId="779951E6"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20</w:t>
      </w:r>
      <w:r w:rsidRPr="00EA48C9">
        <w:rPr>
          <w:rFonts w:ascii="Arial" w:hAnsi="Arial" w:cs="Arial"/>
          <w:b/>
          <w:sz w:val="22"/>
          <w:szCs w:val="22"/>
        </w:rPr>
        <w:tab/>
        <w:t>AUTHORITY TO CONTRACT</w:t>
      </w:r>
    </w:p>
    <w:p w14:paraId="4FE7EB0D"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F312D5D" w14:textId="77777777" w:rsidR="00EA48C9" w:rsidRPr="00EA48C9" w:rsidRDefault="00EA48C9" w:rsidP="00EA48C9">
      <w:pPr>
        <w:jc w:val="both"/>
        <w:rPr>
          <w:rFonts w:ascii="Arial" w:hAnsi="Arial" w:cs="Arial"/>
          <w:sz w:val="22"/>
          <w:szCs w:val="22"/>
        </w:rPr>
      </w:pPr>
    </w:p>
    <w:p w14:paraId="6CA601E1"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21</w:t>
      </w:r>
      <w:r w:rsidRPr="00EA48C9">
        <w:rPr>
          <w:rFonts w:ascii="Arial" w:hAnsi="Arial" w:cs="Arial"/>
          <w:b/>
          <w:sz w:val="22"/>
          <w:szCs w:val="22"/>
        </w:rPr>
        <w:tab/>
        <w:t>NOTICE</w:t>
      </w:r>
    </w:p>
    <w:p w14:paraId="37A2FE50"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3" w:name="agencyname2"/>
      <w:bookmarkEnd w:id="253"/>
      <w:r w:rsidRPr="00EA48C9">
        <w:rPr>
          <w:rFonts w:ascii="Arial" w:hAnsi="Arial" w:cs="Arial"/>
          <w:sz w:val="22"/>
          <w:szCs w:val="22"/>
        </w:rPr>
        <w:t xml:space="preserve">Mississippi Department of Wildlife, Fisheries, and Parks’ address for notice is: </w:t>
      </w:r>
      <w:bookmarkStart w:id="254" w:name="agencynoticename"/>
      <w:bookmarkEnd w:id="254"/>
      <w:r w:rsidRPr="00EA48C9">
        <w:rPr>
          <w:rFonts w:ascii="Arial" w:hAnsi="Arial" w:cs="Arial"/>
          <w:sz w:val="22"/>
          <w:szCs w:val="22"/>
        </w:rPr>
        <w:t xml:space="preserve">Mr. Eric Barnes, </w:t>
      </w:r>
      <w:bookmarkStart w:id="255" w:name="agencynoticetitle"/>
      <w:bookmarkEnd w:id="255"/>
      <w:r w:rsidRPr="00EA48C9">
        <w:rPr>
          <w:rFonts w:ascii="Arial" w:hAnsi="Arial" w:cs="Arial"/>
          <w:sz w:val="22"/>
          <w:szCs w:val="22"/>
        </w:rPr>
        <w:t xml:space="preserve">Projects Manager, </w:t>
      </w:r>
      <w:bookmarkStart w:id="256" w:name="agencynoticecomp"/>
      <w:bookmarkEnd w:id="256"/>
      <w:r w:rsidRPr="00EA48C9">
        <w:rPr>
          <w:rFonts w:ascii="Arial" w:hAnsi="Arial" w:cs="Arial"/>
          <w:sz w:val="22"/>
          <w:szCs w:val="22"/>
        </w:rPr>
        <w:t xml:space="preserve">Mississippi Department of Wildlife, Fisheries, and Parks, </w:t>
      </w:r>
      <w:bookmarkStart w:id="257" w:name="agencynoticestreet"/>
      <w:bookmarkEnd w:id="257"/>
      <w:r w:rsidRPr="00EA48C9">
        <w:rPr>
          <w:rFonts w:ascii="Arial" w:hAnsi="Arial" w:cs="Arial"/>
          <w:sz w:val="22"/>
          <w:szCs w:val="22"/>
        </w:rPr>
        <w:t xml:space="preserve">1505 Eastover Drive, </w:t>
      </w:r>
      <w:bookmarkStart w:id="258" w:name="agencynoticecity"/>
      <w:bookmarkEnd w:id="258"/>
      <w:r w:rsidRPr="00EA48C9">
        <w:rPr>
          <w:rFonts w:ascii="Arial" w:hAnsi="Arial" w:cs="Arial"/>
          <w:sz w:val="22"/>
          <w:szCs w:val="22"/>
        </w:rPr>
        <w:t xml:space="preserve">Jackson, </w:t>
      </w:r>
      <w:bookmarkStart w:id="259" w:name="agencynoticestate"/>
      <w:bookmarkEnd w:id="259"/>
      <w:r w:rsidRPr="00EA48C9">
        <w:rPr>
          <w:rFonts w:ascii="Arial" w:hAnsi="Arial" w:cs="Arial"/>
          <w:sz w:val="22"/>
          <w:szCs w:val="22"/>
        </w:rPr>
        <w:t xml:space="preserve">Mississippi </w:t>
      </w:r>
      <w:bookmarkStart w:id="260" w:name="agencynoticezip"/>
      <w:bookmarkEnd w:id="260"/>
      <w:r w:rsidRPr="00EA48C9">
        <w:rPr>
          <w:rFonts w:ascii="Arial" w:hAnsi="Arial" w:cs="Arial"/>
          <w:sz w:val="22"/>
          <w:szCs w:val="22"/>
        </w:rPr>
        <w:t xml:space="preserve">39211.  The Licensor’s address for notice is: </w:t>
      </w:r>
      <w:bookmarkStart w:id="261" w:name="vendornoticename"/>
      <w:bookmarkEnd w:id="261"/>
      <w:r w:rsidRPr="00EA48C9">
        <w:rPr>
          <w:rFonts w:ascii="Arial" w:hAnsi="Arial" w:cs="Arial"/>
          <w:sz w:val="22"/>
          <w:szCs w:val="22"/>
          <w:highlight w:val="yellow"/>
        </w:rPr>
        <w:t>VENDOR NOTICE INFORMATION</w:t>
      </w:r>
      <w:bookmarkStart w:id="262" w:name="vendornoticezip"/>
      <w:bookmarkEnd w:id="262"/>
      <w:r w:rsidRPr="00EA48C9">
        <w:rPr>
          <w:rFonts w:ascii="Arial" w:hAnsi="Arial" w:cs="Arial"/>
          <w:sz w:val="22"/>
          <w:szCs w:val="22"/>
        </w:rPr>
        <w:t>. Notice shall be deemed given when actually received or when refused. The parties agree to promptly notify each other in writing of any change of address.</w:t>
      </w:r>
    </w:p>
    <w:p w14:paraId="03031A5C" w14:textId="77777777" w:rsidR="00EA48C9" w:rsidRPr="00EA48C9" w:rsidRDefault="00EA48C9" w:rsidP="00EA48C9">
      <w:pPr>
        <w:jc w:val="both"/>
        <w:rPr>
          <w:rFonts w:ascii="Arial" w:hAnsi="Arial" w:cs="Arial"/>
          <w:sz w:val="22"/>
          <w:szCs w:val="22"/>
        </w:rPr>
      </w:pPr>
    </w:p>
    <w:p w14:paraId="2916DFFD"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22</w:t>
      </w:r>
      <w:r w:rsidRPr="00EA48C9">
        <w:rPr>
          <w:rFonts w:ascii="Arial" w:hAnsi="Arial" w:cs="Arial"/>
          <w:b/>
          <w:sz w:val="22"/>
          <w:szCs w:val="22"/>
        </w:rPr>
        <w:tab/>
        <w:t>RECORD RETENTION AND ACCESS TO RECORDS</w:t>
      </w:r>
    </w:p>
    <w:p w14:paraId="6D9BB8F6"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0A13B439" w14:textId="77777777" w:rsidR="00EA48C9" w:rsidRPr="00EA48C9" w:rsidRDefault="00EA48C9" w:rsidP="00EA48C9">
      <w:pPr>
        <w:jc w:val="both"/>
        <w:rPr>
          <w:rFonts w:ascii="Arial" w:hAnsi="Arial" w:cs="Arial"/>
          <w:sz w:val="22"/>
          <w:szCs w:val="22"/>
        </w:rPr>
      </w:pPr>
    </w:p>
    <w:p w14:paraId="30F5B61D"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23</w:t>
      </w:r>
      <w:r w:rsidRPr="00EA48C9">
        <w:rPr>
          <w:rFonts w:ascii="Arial" w:hAnsi="Arial" w:cs="Arial"/>
          <w:b/>
          <w:sz w:val="22"/>
          <w:szCs w:val="22"/>
        </w:rPr>
        <w:tab/>
        <w:t>INSURANCE</w:t>
      </w:r>
    </w:p>
    <w:p w14:paraId="5D58545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20A89DB2" w14:textId="77777777" w:rsidR="00EA48C9" w:rsidRPr="00EA48C9" w:rsidRDefault="00EA48C9" w:rsidP="00EA48C9">
      <w:pPr>
        <w:jc w:val="both"/>
        <w:rPr>
          <w:rFonts w:ascii="Arial" w:hAnsi="Arial" w:cs="Arial"/>
          <w:sz w:val="22"/>
          <w:szCs w:val="22"/>
        </w:rPr>
      </w:pPr>
    </w:p>
    <w:p w14:paraId="7FB67473"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24</w:t>
      </w:r>
      <w:r w:rsidRPr="00EA48C9">
        <w:rPr>
          <w:rFonts w:ascii="Arial" w:hAnsi="Arial" w:cs="Arial"/>
          <w:b/>
          <w:sz w:val="22"/>
          <w:szCs w:val="22"/>
        </w:rPr>
        <w:tab/>
        <w:t>DISPUTES</w:t>
      </w:r>
    </w:p>
    <w:p w14:paraId="159E683A"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Any dispute concerning a question of fact under this Agreement which is not disposed of by </w:t>
      </w:r>
      <w:r w:rsidRPr="00EA48C9">
        <w:rPr>
          <w:rFonts w:ascii="Arial" w:hAnsi="Arial" w:cs="Arial"/>
          <w:sz w:val="22"/>
          <w:szCs w:val="22"/>
        </w:rPr>
        <w:lastRenderedPageBreak/>
        <w:t>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791123B4" w14:textId="77777777" w:rsidR="00EA48C9" w:rsidRPr="00EA48C9" w:rsidRDefault="00EA48C9" w:rsidP="00EA48C9">
      <w:pPr>
        <w:jc w:val="both"/>
        <w:rPr>
          <w:rFonts w:ascii="Arial" w:hAnsi="Arial" w:cs="Arial"/>
          <w:sz w:val="22"/>
          <w:szCs w:val="22"/>
        </w:rPr>
      </w:pPr>
    </w:p>
    <w:p w14:paraId="219397CB"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25</w:t>
      </w:r>
      <w:r w:rsidRPr="00EA48C9">
        <w:rPr>
          <w:rFonts w:ascii="Arial" w:hAnsi="Arial" w:cs="Arial"/>
          <w:b/>
          <w:sz w:val="22"/>
          <w:szCs w:val="22"/>
        </w:rPr>
        <w:tab/>
        <w:t>COMPLIANCE WITH LAWS</w:t>
      </w:r>
    </w:p>
    <w:p w14:paraId="363313B3"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25.1</w:t>
      </w:r>
      <w:r w:rsidRPr="00EA48C9">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6087826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ab/>
      </w:r>
    </w:p>
    <w:p w14:paraId="49A2BB74"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25.2</w:t>
      </w:r>
      <w:r w:rsidRPr="00EA48C9">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2FE2BA8" w14:textId="77777777" w:rsidR="00EA48C9" w:rsidRPr="00EA48C9" w:rsidRDefault="00EA48C9" w:rsidP="00EA48C9">
      <w:pPr>
        <w:jc w:val="both"/>
        <w:rPr>
          <w:rFonts w:ascii="Arial" w:hAnsi="Arial" w:cs="Arial"/>
          <w:sz w:val="22"/>
          <w:szCs w:val="22"/>
        </w:rPr>
      </w:pPr>
    </w:p>
    <w:p w14:paraId="6BDD8FB0"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26</w:t>
      </w:r>
      <w:r w:rsidRPr="00EA48C9">
        <w:rPr>
          <w:rFonts w:ascii="Arial" w:hAnsi="Arial" w:cs="Arial"/>
          <w:b/>
          <w:sz w:val="22"/>
          <w:szCs w:val="22"/>
        </w:rPr>
        <w:tab/>
        <w:t>CONFLICT OF INTEREST</w:t>
      </w:r>
    </w:p>
    <w:p w14:paraId="2DDE53F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Licensor shall notify </w:t>
      </w:r>
      <w:bookmarkStart w:id="263" w:name="agencycode77"/>
      <w:bookmarkEnd w:id="263"/>
      <w:r w:rsidRPr="00EA48C9">
        <w:rPr>
          <w:rFonts w:ascii="Arial" w:hAnsi="Arial" w:cs="Arial"/>
          <w:sz w:val="22"/>
          <w:szCs w:val="22"/>
        </w:rPr>
        <w:t xml:space="preserve">MDWFP of any potential conflict of interest resulting from the provision of services to other customers. If such conflict cannot be resolved to </w:t>
      </w:r>
      <w:bookmarkStart w:id="264" w:name="agencycode78"/>
      <w:bookmarkEnd w:id="264"/>
      <w:r w:rsidRPr="00EA48C9">
        <w:rPr>
          <w:rFonts w:ascii="Arial" w:hAnsi="Arial" w:cs="Arial"/>
          <w:sz w:val="22"/>
          <w:szCs w:val="22"/>
        </w:rPr>
        <w:t>MDWFP’s satisfaction,</w:t>
      </w:r>
      <w:bookmarkStart w:id="265" w:name="agencycode79"/>
      <w:bookmarkEnd w:id="265"/>
      <w:r w:rsidRPr="00EA48C9">
        <w:rPr>
          <w:rFonts w:ascii="Arial" w:hAnsi="Arial" w:cs="Arial"/>
          <w:sz w:val="22"/>
          <w:szCs w:val="22"/>
        </w:rPr>
        <w:t xml:space="preserve"> MDWFP reserves the right to terminate this Agreement.</w:t>
      </w:r>
    </w:p>
    <w:p w14:paraId="45481368" w14:textId="77777777" w:rsidR="00EA48C9" w:rsidRPr="00EA48C9" w:rsidRDefault="00EA48C9" w:rsidP="00EA48C9">
      <w:pPr>
        <w:jc w:val="both"/>
        <w:rPr>
          <w:rFonts w:ascii="Arial" w:hAnsi="Arial" w:cs="Arial"/>
          <w:sz w:val="22"/>
          <w:szCs w:val="22"/>
        </w:rPr>
      </w:pPr>
    </w:p>
    <w:p w14:paraId="791D4D1A"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27</w:t>
      </w:r>
      <w:r w:rsidRPr="00EA48C9">
        <w:rPr>
          <w:rFonts w:ascii="Arial" w:hAnsi="Arial" w:cs="Arial"/>
          <w:b/>
          <w:sz w:val="22"/>
          <w:szCs w:val="22"/>
        </w:rPr>
        <w:tab/>
        <w:t>SOVEREIGN IMMUNITY</w:t>
      </w:r>
    </w:p>
    <w:p w14:paraId="7423D3DB"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By entering into this Agreement with Licensor, the State of Mississippi does in no way waive its sovereign immunities or defenses as provided by law.</w:t>
      </w:r>
    </w:p>
    <w:p w14:paraId="1D836AAD" w14:textId="77777777" w:rsidR="00EA48C9" w:rsidRPr="00EA48C9" w:rsidRDefault="00EA48C9" w:rsidP="00EA48C9">
      <w:pPr>
        <w:jc w:val="both"/>
        <w:rPr>
          <w:rFonts w:ascii="Arial" w:hAnsi="Arial" w:cs="Arial"/>
          <w:sz w:val="22"/>
          <w:szCs w:val="22"/>
        </w:rPr>
      </w:pPr>
    </w:p>
    <w:p w14:paraId="55A03AE6"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28</w:t>
      </w:r>
      <w:r w:rsidRPr="00EA48C9">
        <w:rPr>
          <w:rFonts w:ascii="Arial" w:hAnsi="Arial" w:cs="Arial"/>
          <w:b/>
          <w:sz w:val="22"/>
          <w:szCs w:val="22"/>
        </w:rPr>
        <w:tab/>
        <w:t>CONFIDENTIAL INFORMATION</w:t>
      </w:r>
    </w:p>
    <w:p w14:paraId="7F007167"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28.1</w:t>
      </w:r>
      <w:r w:rsidRPr="00EA48C9">
        <w:rPr>
          <w:rFonts w:ascii="Arial" w:hAnsi="Arial" w:cs="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4F0B732E" w14:textId="77777777" w:rsidR="00EA48C9" w:rsidRPr="00EA48C9" w:rsidRDefault="00EA48C9" w:rsidP="00EA48C9">
      <w:pPr>
        <w:jc w:val="both"/>
        <w:rPr>
          <w:rFonts w:ascii="Arial" w:hAnsi="Arial" w:cs="Arial"/>
          <w:sz w:val="22"/>
          <w:szCs w:val="22"/>
        </w:rPr>
      </w:pPr>
    </w:p>
    <w:p w14:paraId="054E81CF"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28.2</w:t>
      </w:r>
      <w:r w:rsidRPr="00EA48C9">
        <w:rPr>
          <w:rFonts w:ascii="Arial" w:hAnsi="Arial" w:cs="Arial"/>
          <w:sz w:val="22"/>
          <w:szCs w:val="22"/>
        </w:rPr>
        <w:tab/>
        <w:t xml:space="preserve">With the exception of any attached exhibits which are labeled as "confidential", the parties </w:t>
      </w:r>
      <w:r w:rsidRPr="00EA48C9">
        <w:rPr>
          <w:rFonts w:ascii="Arial" w:hAnsi="Arial" w:cs="Arial"/>
          <w:sz w:val="22"/>
          <w:szCs w:val="22"/>
        </w:rPr>
        <w:lastRenderedPageBreak/>
        <w:t>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2FD68A5D" w14:textId="77777777" w:rsidR="00EA48C9" w:rsidRPr="00EA48C9" w:rsidRDefault="00EA48C9" w:rsidP="00EA48C9">
      <w:pPr>
        <w:jc w:val="both"/>
        <w:rPr>
          <w:rFonts w:ascii="Arial" w:hAnsi="Arial" w:cs="Arial"/>
          <w:sz w:val="22"/>
          <w:szCs w:val="22"/>
        </w:rPr>
      </w:pPr>
    </w:p>
    <w:p w14:paraId="5486D30C" w14:textId="77777777" w:rsidR="00EA48C9" w:rsidRPr="00EA48C9" w:rsidRDefault="00EA48C9" w:rsidP="00EA48C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EA48C9">
        <w:rPr>
          <w:rFonts w:ascii="Arial" w:hAnsi="Arial" w:cs="Arial"/>
          <w:b/>
          <w:sz w:val="22"/>
          <w:szCs w:val="22"/>
        </w:rPr>
        <w:t>28.3</w:t>
      </w:r>
      <w:r w:rsidRPr="00EA48C9">
        <w:rPr>
          <w:rFonts w:ascii="Arial" w:hAnsi="Arial" w:cs="Arial"/>
          <w:b/>
          <w:sz w:val="22"/>
          <w:szCs w:val="22"/>
        </w:rPr>
        <w:tab/>
      </w:r>
      <w:r w:rsidRPr="00EA48C9">
        <w:rPr>
          <w:rFonts w:ascii="Arial" w:hAnsi="Arial" w:cs="Arial"/>
          <w:sz w:val="22"/>
          <w:szCs w:val="22"/>
        </w:rPr>
        <w:t>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535B5537" w14:textId="77777777" w:rsidR="00EA48C9" w:rsidRPr="00EA48C9" w:rsidRDefault="00EA48C9" w:rsidP="00EA48C9">
      <w:pPr>
        <w:jc w:val="both"/>
        <w:rPr>
          <w:rFonts w:ascii="Arial" w:hAnsi="Arial" w:cs="Arial"/>
          <w:sz w:val="22"/>
          <w:szCs w:val="22"/>
        </w:rPr>
      </w:pPr>
    </w:p>
    <w:p w14:paraId="71E1015C"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29</w:t>
      </w:r>
      <w:r w:rsidRPr="00EA48C9">
        <w:rPr>
          <w:rFonts w:ascii="Arial" w:hAnsi="Arial" w:cs="Arial"/>
          <w:b/>
          <w:sz w:val="22"/>
          <w:szCs w:val="22"/>
        </w:rPr>
        <w:tab/>
        <w:t>EFFECT OF SIGNATURE</w:t>
      </w:r>
    </w:p>
    <w:p w14:paraId="5FFE1337"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31341B4B" w14:textId="77777777" w:rsidR="00EA48C9" w:rsidRPr="00EA48C9" w:rsidRDefault="00EA48C9" w:rsidP="00EA48C9">
      <w:pPr>
        <w:jc w:val="both"/>
        <w:rPr>
          <w:rFonts w:ascii="Arial" w:hAnsi="Arial" w:cs="Arial"/>
          <w:sz w:val="22"/>
          <w:szCs w:val="22"/>
        </w:rPr>
      </w:pPr>
    </w:p>
    <w:p w14:paraId="3707DED1"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30</w:t>
      </w:r>
      <w:r w:rsidRPr="00EA48C9">
        <w:rPr>
          <w:rFonts w:ascii="Arial" w:hAnsi="Arial" w:cs="Arial"/>
          <w:b/>
          <w:sz w:val="22"/>
          <w:szCs w:val="22"/>
        </w:rPr>
        <w:tab/>
        <w:t>OWNERSHIP OF DOCUMENTS AND WORK PRODUCTS</w:t>
      </w:r>
    </w:p>
    <w:p w14:paraId="43FBD835"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2FA252C1" w14:textId="77777777" w:rsidR="00EA48C9" w:rsidRPr="00EA48C9" w:rsidRDefault="00EA48C9" w:rsidP="00EA48C9">
      <w:pPr>
        <w:jc w:val="both"/>
        <w:rPr>
          <w:rFonts w:ascii="Arial" w:hAnsi="Arial" w:cs="Arial"/>
          <w:sz w:val="22"/>
          <w:szCs w:val="22"/>
        </w:rPr>
      </w:pPr>
    </w:p>
    <w:p w14:paraId="014D865E"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31</w:t>
      </w:r>
      <w:r w:rsidRPr="00EA48C9">
        <w:rPr>
          <w:rFonts w:ascii="Arial" w:hAnsi="Arial" w:cs="Arial"/>
          <w:b/>
          <w:sz w:val="22"/>
          <w:szCs w:val="22"/>
        </w:rPr>
        <w:tab/>
        <w:t>NON-SOLICITATION OF EMPLOYEES</w:t>
      </w:r>
    </w:p>
    <w:p w14:paraId="162865DE"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Licensor agrees not to employ or to solicit for employment, directly or indirectly, any of </w:t>
      </w:r>
      <w:bookmarkStart w:id="266" w:name="agencycode80"/>
      <w:bookmarkEnd w:id="266"/>
      <w:r w:rsidRPr="00EA48C9">
        <w:rPr>
          <w:rFonts w:ascii="Arial" w:hAnsi="Arial" w:cs="Arial"/>
          <w:sz w:val="22"/>
          <w:szCs w:val="22"/>
        </w:rPr>
        <w:t xml:space="preserve">MDWFP’s employees until at least one (1) year after the expiration/termination of this Agreement unless mutually agreed to the contrary in writing by </w:t>
      </w:r>
      <w:bookmarkStart w:id="267" w:name="agencycode81"/>
      <w:bookmarkEnd w:id="267"/>
      <w:r w:rsidRPr="00EA48C9">
        <w:rPr>
          <w:rFonts w:ascii="Arial" w:hAnsi="Arial" w:cs="Arial"/>
          <w:sz w:val="22"/>
          <w:szCs w:val="22"/>
        </w:rPr>
        <w:t>MDWFP and the Licensor and provided that such an agreement between these two entities is not a violation of the laws of the State of Mississippi or the federal government.</w:t>
      </w:r>
    </w:p>
    <w:p w14:paraId="26D8C573" w14:textId="77777777" w:rsidR="00EA48C9" w:rsidRPr="00EA48C9" w:rsidRDefault="00EA48C9" w:rsidP="00EA48C9">
      <w:pPr>
        <w:jc w:val="both"/>
        <w:rPr>
          <w:rFonts w:ascii="Arial" w:hAnsi="Arial" w:cs="Arial"/>
          <w:sz w:val="22"/>
          <w:szCs w:val="22"/>
        </w:rPr>
      </w:pPr>
    </w:p>
    <w:p w14:paraId="651B9CE9"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32</w:t>
      </w:r>
      <w:r w:rsidRPr="00EA48C9">
        <w:rPr>
          <w:rFonts w:ascii="Arial" w:hAnsi="Arial" w:cs="Arial"/>
          <w:b/>
          <w:sz w:val="22"/>
          <w:szCs w:val="22"/>
        </w:rPr>
        <w:tab/>
        <w:t>ENTIRE AGREEMENT</w:t>
      </w:r>
    </w:p>
    <w:p w14:paraId="6F5F8DD1"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32.1</w:t>
      </w:r>
      <w:r w:rsidRPr="00EA48C9">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RFP No. </w:t>
      </w:r>
      <w:bookmarkStart w:id="268" w:name="rfpnumber3"/>
      <w:bookmarkEnd w:id="268"/>
      <w:r w:rsidR="00460508">
        <w:rPr>
          <w:rFonts w:ascii="Arial" w:hAnsi="Arial" w:cs="Arial"/>
          <w:sz w:val="22"/>
          <w:szCs w:val="22"/>
        </w:rPr>
        <w:t>3990</w:t>
      </w:r>
      <w:r w:rsidRPr="00EA48C9">
        <w:rPr>
          <w:rFonts w:ascii="Arial" w:hAnsi="Arial" w:cs="Arial"/>
          <w:sz w:val="22"/>
          <w:szCs w:val="22"/>
        </w:rPr>
        <w:t xml:space="preserve">, and Licensor’s Proposals, as accepted by the State, in response thereto are hereby incorporated into and made a part of this Agreement. </w:t>
      </w:r>
    </w:p>
    <w:p w14:paraId="3FD07420" w14:textId="77777777" w:rsidR="00EA48C9" w:rsidRPr="00EA48C9" w:rsidRDefault="00EA48C9" w:rsidP="00EA48C9">
      <w:pPr>
        <w:jc w:val="both"/>
        <w:rPr>
          <w:rFonts w:ascii="Arial" w:hAnsi="Arial" w:cs="Arial"/>
          <w:sz w:val="22"/>
          <w:szCs w:val="22"/>
        </w:rPr>
      </w:pPr>
    </w:p>
    <w:p w14:paraId="3B03CA5D"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32.2</w:t>
      </w:r>
      <w:r w:rsidRPr="00EA48C9">
        <w:rPr>
          <w:rFonts w:ascii="Arial" w:hAnsi="Arial" w:cs="Arial"/>
          <w:sz w:val="22"/>
          <w:szCs w:val="22"/>
        </w:rPr>
        <w:tab/>
        <w:t>The contract made by and between the parties hereto shall consist of, and precedence is hereby established by the order of the following:</w:t>
      </w:r>
    </w:p>
    <w:p w14:paraId="1B772A5A" w14:textId="77777777" w:rsidR="00EA48C9" w:rsidRPr="00EA48C9" w:rsidRDefault="00EA48C9" w:rsidP="00EA48C9">
      <w:pPr>
        <w:jc w:val="both"/>
        <w:rPr>
          <w:rFonts w:ascii="Arial" w:hAnsi="Arial" w:cs="Arial"/>
          <w:sz w:val="22"/>
          <w:szCs w:val="22"/>
        </w:rPr>
      </w:pPr>
    </w:p>
    <w:p w14:paraId="45A08CFF"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A.</w:t>
      </w:r>
      <w:r w:rsidRPr="00EA48C9">
        <w:rPr>
          <w:rFonts w:ascii="Arial" w:hAnsi="Arial" w:cs="Arial"/>
          <w:sz w:val="22"/>
          <w:szCs w:val="22"/>
        </w:rPr>
        <w:tab/>
        <w:t>This Agreement signed by the parties hereto;</w:t>
      </w:r>
    </w:p>
    <w:p w14:paraId="3B4DE55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B.</w:t>
      </w:r>
      <w:r w:rsidRPr="00EA48C9">
        <w:rPr>
          <w:rFonts w:ascii="Arial" w:hAnsi="Arial" w:cs="Arial"/>
          <w:sz w:val="22"/>
          <w:szCs w:val="22"/>
        </w:rPr>
        <w:tab/>
        <w:t>Any exhibits attached to this Agreement;</w:t>
      </w:r>
    </w:p>
    <w:p w14:paraId="3664C247"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C.</w:t>
      </w:r>
      <w:r w:rsidRPr="00EA48C9">
        <w:rPr>
          <w:rFonts w:ascii="Arial" w:hAnsi="Arial" w:cs="Arial"/>
          <w:sz w:val="22"/>
          <w:szCs w:val="22"/>
        </w:rPr>
        <w:tab/>
        <w:t xml:space="preserve">RFP No. </w:t>
      </w:r>
      <w:bookmarkStart w:id="269" w:name="rfpnumber4"/>
      <w:bookmarkEnd w:id="269"/>
      <w:r w:rsidR="00460508">
        <w:rPr>
          <w:rFonts w:ascii="Arial" w:hAnsi="Arial" w:cs="Arial"/>
          <w:sz w:val="22"/>
          <w:szCs w:val="22"/>
        </w:rPr>
        <w:t>3990</w:t>
      </w:r>
      <w:r w:rsidRPr="00EA48C9">
        <w:rPr>
          <w:rFonts w:ascii="Arial" w:hAnsi="Arial" w:cs="Arial"/>
          <w:sz w:val="22"/>
          <w:szCs w:val="22"/>
        </w:rPr>
        <w:t xml:space="preserve"> and written addenda, and</w:t>
      </w:r>
    </w:p>
    <w:p w14:paraId="527DFF0D"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D.</w:t>
      </w:r>
      <w:r w:rsidRPr="00EA48C9">
        <w:rPr>
          <w:rFonts w:ascii="Arial" w:hAnsi="Arial" w:cs="Arial"/>
          <w:sz w:val="22"/>
          <w:szCs w:val="22"/>
        </w:rPr>
        <w:tab/>
        <w:t>Licensor’s Proposals, as accepted by the State, in response to RFP No.</w:t>
      </w:r>
      <w:bookmarkStart w:id="270" w:name="rfpnumber5"/>
      <w:bookmarkEnd w:id="270"/>
      <w:r w:rsidR="00460508">
        <w:rPr>
          <w:rFonts w:ascii="Arial" w:hAnsi="Arial" w:cs="Arial"/>
          <w:sz w:val="22"/>
          <w:szCs w:val="22"/>
        </w:rPr>
        <w:t>3990</w:t>
      </w:r>
      <w:r w:rsidRPr="00EA48C9">
        <w:rPr>
          <w:rFonts w:ascii="Arial" w:hAnsi="Arial" w:cs="Arial"/>
          <w:sz w:val="22"/>
          <w:szCs w:val="22"/>
        </w:rPr>
        <w:t>.</w:t>
      </w:r>
    </w:p>
    <w:p w14:paraId="46AE66B8" w14:textId="77777777" w:rsidR="00EA48C9" w:rsidRPr="00EA48C9" w:rsidRDefault="00EA48C9" w:rsidP="00EA48C9">
      <w:pPr>
        <w:jc w:val="both"/>
        <w:rPr>
          <w:rFonts w:ascii="Arial" w:hAnsi="Arial" w:cs="Arial"/>
          <w:sz w:val="22"/>
          <w:szCs w:val="22"/>
        </w:rPr>
      </w:pPr>
    </w:p>
    <w:p w14:paraId="2BA7883F"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32.3</w:t>
      </w:r>
      <w:r w:rsidRPr="00EA48C9">
        <w:rPr>
          <w:rFonts w:ascii="Arial" w:hAnsi="Arial" w:cs="Arial"/>
          <w:sz w:val="22"/>
          <w:szCs w:val="22"/>
        </w:rPr>
        <w:tab/>
        <w:t xml:space="preserve">The intent of the above listed documents is to include all items necessary for the proper </w:t>
      </w:r>
      <w:r w:rsidRPr="00EA48C9">
        <w:rPr>
          <w:rFonts w:ascii="Arial" w:hAnsi="Arial" w:cs="Arial"/>
          <w:sz w:val="22"/>
          <w:szCs w:val="22"/>
        </w:rPr>
        <w:lastRenderedPageBreak/>
        <w:t>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Proposals”).</w:t>
      </w:r>
    </w:p>
    <w:p w14:paraId="5522A5D6" w14:textId="77777777" w:rsidR="00EA48C9" w:rsidRPr="00EA48C9" w:rsidRDefault="00EA48C9" w:rsidP="00EA48C9">
      <w:pPr>
        <w:jc w:val="both"/>
        <w:rPr>
          <w:rFonts w:ascii="Arial" w:hAnsi="Arial" w:cs="Arial"/>
          <w:sz w:val="22"/>
          <w:szCs w:val="22"/>
        </w:rPr>
      </w:pPr>
    </w:p>
    <w:p w14:paraId="2D40F17D"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33</w:t>
      </w:r>
      <w:r w:rsidRPr="00EA48C9">
        <w:rPr>
          <w:rFonts w:ascii="Arial" w:hAnsi="Arial" w:cs="Arial"/>
          <w:b/>
          <w:sz w:val="22"/>
          <w:szCs w:val="22"/>
        </w:rPr>
        <w:tab/>
        <w:t>STATE PROPERTY</w:t>
      </w:r>
    </w:p>
    <w:p w14:paraId="2F7D0DB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B84265B" w14:textId="77777777" w:rsidR="00EA48C9" w:rsidRPr="00EA48C9" w:rsidRDefault="00EA48C9" w:rsidP="00EA48C9">
      <w:pPr>
        <w:jc w:val="both"/>
        <w:rPr>
          <w:rFonts w:ascii="Arial" w:hAnsi="Arial" w:cs="Arial"/>
          <w:sz w:val="22"/>
          <w:szCs w:val="22"/>
        </w:rPr>
      </w:pPr>
    </w:p>
    <w:p w14:paraId="47C05B15"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34</w:t>
      </w:r>
      <w:r w:rsidRPr="00EA48C9">
        <w:rPr>
          <w:rFonts w:ascii="Arial" w:hAnsi="Arial" w:cs="Arial"/>
          <w:b/>
          <w:sz w:val="22"/>
          <w:szCs w:val="22"/>
        </w:rPr>
        <w:tab/>
        <w:t>SURVIVAL</w:t>
      </w:r>
    </w:p>
    <w:p w14:paraId="39730F5E"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14:paraId="0E2161B8" w14:textId="77777777" w:rsidR="00EA48C9" w:rsidRPr="00EA48C9" w:rsidRDefault="00EA48C9" w:rsidP="00EA48C9">
      <w:pPr>
        <w:jc w:val="both"/>
        <w:rPr>
          <w:rFonts w:ascii="Arial" w:hAnsi="Arial" w:cs="Arial"/>
          <w:sz w:val="22"/>
          <w:szCs w:val="22"/>
        </w:rPr>
      </w:pPr>
    </w:p>
    <w:p w14:paraId="31AE77C8"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35</w:t>
      </w:r>
      <w:r w:rsidRPr="00EA48C9">
        <w:rPr>
          <w:rFonts w:ascii="Arial" w:hAnsi="Arial" w:cs="Arial"/>
          <w:b/>
          <w:sz w:val="22"/>
          <w:szCs w:val="22"/>
        </w:rPr>
        <w:tab/>
        <w:t>DEBARMENT AND SUSPENSION CERTIFICATION</w:t>
      </w:r>
    </w:p>
    <w:p w14:paraId="0D360661"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6C9F7F18" w14:textId="77777777" w:rsidR="00EA48C9" w:rsidRPr="00EA48C9" w:rsidRDefault="00EA48C9" w:rsidP="00EA48C9">
      <w:pPr>
        <w:jc w:val="both"/>
        <w:rPr>
          <w:rFonts w:ascii="Arial" w:hAnsi="Arial" w:cs="Arial"/>
          <w:sz w:val="22"/>
          <w:szCs w:val="22"/>
        </w:rPr>
      </w:pPr>
    </w:p>
    <w:p w14:paraId="3DDB9CFA"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36</w:t>
      </w:r>
      <w:r w:rsidRPr="00EA48C9">
        <w:rPr>
          <w:rFonts w:ascii="Arial" w:hAnsi="Arial" w:cs="Arial"/>
          <w:b/>
          <w:sz w:val="22"/>
          <w:szCs w:val="22"/>
        </w:rPr>
        <w:tab/>
        <w:t>SPECIAL TERMS AND CONDITIONS</w:t>
      </w:r>
    </w:p>
    <w:p w14:paraId="2D21F3F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It is understood and agreed by the parties to this Agreement that there are no special terms and conditions except as specifically provided in this Agreement.</w:t>
      </w:r>
    </w:p>
    <w:p w14:paraId="0A994012" w14:textId="77777777" w:rsidR="00EA48C9" w:rsidRPr="00EA48C9" w:rsidRDefault="00EA48C9" w:rsidP="00EA48C9">
      <w:pPr>
        <w:jc w:val="both"/>
        <w:rPr>
          <w:rFonts w:ascii="Arial" w:hAnsi="Arial" w:cs="Arial"/>
          <w:sz w:val="22"/>
          <w:szCs w:val="22"/>
        </w:rPr>
      </w:pPr>
    </w:p>
    <w:p w14:paraId="343BB740"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37</w:t>
      </w:r>
      <w:r w:rsidRPr="00EA48C9">
        <w:rPr>
          <w:rFonts w:ascii="Arial" w:hAnsi="Arial" w:cs="Arial"/>
          <w:b/>
          <w:sz w:val="22"/>
          <w:szCs w:val="22"/>
        </w:rPr>
        <w:tab/>
        <w:t>STATUTORY AUTHORITY</w:t>
      </w:r>
    </w:p>
    <w:p w14:paraId="71F1DB61"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w:t>
      </w:r>
      <w:r w:rsidRPr="00EA48C9">
        <w:rPr>
          <w:rFonts w:ascii="Arial" w:hAnsi="Arial" w:cs="Arial"/>
          <w:sz w:val="22"/>
          <w:szCs w:val="22"/>
        </w:rPr>
        <w:lastRenderedPageBreak/>
        <w:t>parties further acknowledge that ITS is not responsible for ensuring compliance with any guidelines, conditions, or requirements mandated by Licensee’s funding source.</w:t>
      </w:r>
    </w:p>
    <w:p w14:paraId="6679FCDD" w14:textId="77777777" w:rsidR="00EA48C9" w:rsidRPr="00EA48C9" w:rsidRDefault="00EA48C9" w:rsidP="00EA48C9">
      <w:pPr>
        <w:jc w:val="both"/>
        <w:rPr>
          <w:rFonts w:ascii="Arial" w:hAnsi="Arial" w:cs="Arial"/>
          <w:sz w:val="22"/>
          <w:szCs w:val="22"/>
        </w:rPr>
      </w:pPr>
    </w:p>
    <w:p w14:paraId="70E6A863"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38</w:t>
      </w:r>
      <w:r w:rsidRPr="00EA48C9">
        <w:rPr>
          <w:rFonts w:ascii="Arial" w:hAnsi="Arial" w:cs="Arial"/>
          <w:b/>
          <w:sz w:val="22"/>
          <w:szCs w:val="22"/>
        </w:rPr>
        <w:tab/>
        <w:t xml:space="preserve">COMPLIANCE WITH ENTERPRISE SECURITY POLICY </w:t>
      </w:r>
    </w:p>
    <w:p w14:paraId="5BD6D2B4"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5B5E1D3A" w14:textId="77777777" w:rsidR="00EA48C9" w:rsidRPr="00EA48C9" w:rsidRDefault="00EA48C9" w:rsidP="00EA48C9">
      <w:pPr>
        <w:jc w:val="both"/>
        <w:rPr>
          <w:rFonts w:ascii="Arial" w:hAnsi="Arial" w:cs="Arial"/>
          <w:sz w:val="22"/>
          <w:szCs w:val="22"/>
        </w:rPr>
      </w:pPr>
    </w:p>
    <w:p w14:paraId="4494321B"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39</w:t>
      </w:r>
      <w:r w:rsidRPr="00EA48C9">
        <w:rPr>
          <w:rFonts w:ascii="Arial" w:hAnsi="Arial" w:cs="Arial"/>
          <w:b/>
          <w:sz w:val="22"/>
          <w:szCs w:val="22"/>
        </w:rPr>
        <w:tab/>
        <w:t xml:space="preserve">SOFTWARE SUPPORT AND MAINTENANCE </w:t>
      </w:r>
    </w:p>
    <w:p w14:paraId="04530F34"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39.1</w:t>
      </w:r>
      <w:r w:rsidRPr="00EA48C9">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RFP No. </w:t>
      </w:r>
      <w:r w:rsidR="00460508">
        <w:rPr>
          <w:rFonts w:ascii="Arial" w:hAnsi="Arial" w:cs="Arial"/>
          <w:sz w:val="22"/>
          <w:szCs w:val="22"/>
        </w:rPr>
        <w:t>3990</w:t>
      </w:r>
      <w:r w:rsidRPr="00EA48C9">
        <w:rPr>
          <w:rFonts w:ascii="Arial" w:hAnsi="Arial" w:cs="Arial"/>
          <w:sz w:val="22"/>
          <w:szCs w:val="22"/>
        </w:rPr>
        <w:t xml:space="preserve"> and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017AE5C2" w14:textId="77777777" w:rsidR="00EA48C9" w:rsidRPr="00EA48C9" w:rsidRDefault="00EA48C9" w:rsidP="00EA48C9">
      <w:pPr>
        <w:jc w:val="both"/>
        <w:rPr>
          <w:rFonts w:ascii="Arial" w:hAnsi="Arial" w:cs="Arial"/>
          <w:sz w:val="22"/>
          <w:szCs w:val="22"/>
        </w:rPr>
      </w:pPr>
    </w:p>
    <w:p w14:paraId="62CCE8DD"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39.2</w:t>
      </w:r>
      <w:r w:rsidRPr="00EA48C9">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6A0E58A0" w14:textId="77777777" w:rsidR="00EA48C9" w:rsidRPr="00EA48C9" w:rsidRDefault="00EA48C9" w:rsidP="00EA48C9">
      <w:pPr>
        <w:jc w:val="both"/>
        <w:rPr>
          <w:rFonts w:ascii="Arial" w:hAnsi="Arial" w:cs="Arial"/>
          <w:sz w:val="22"/>
          <w:szCs w:val="22"/>
        </w:rPr>
      </w:pPr>
    </w:p>
    <w:p w14:paraId="436ADE79"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39.3</w:t>
      </w:r>
      <w:r w:rsidRPr="00EA48C9">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75E59475" w14:textId="77777777" w:rsidR="00EA48C9" w:rsidRPr="00EA48C9" w:rsidRDefault="00EA48C9" w:rsidP="00EA48C9">
      <w:pPr>
        <w:jc w:val="both"/>
        <w:rPr>
          <w:rFonts w:ascii="Arial" w:hAnsi="Arial" w:cs="Arial"/>
          <w:sz w:val="22"/>
          <w:szCs w:val="22"/>
        </w:rPr>
      </w:pPr>
    </w:p>
    <w:p w14:paraId="037D37C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39.4</w:t>
      </w:r>
      <w:r w:rsidRPr="00EA48C9">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75D29181" w14:textId="77777777" w:rsidR="00EA48C9" w:rsidRPr="00EA48C9" w:rsidRDefault="00EA48C9" w:rsidP="00EA48C9">
      <w:pPr>
        <w:jc w:val="both"/>
        <w:rPr>
          <w:rFonts w:ascii="Arial" w:hAnsi="Arial" w:cs="Arial"/>
          <w:sz w:val="22"/>
          <w:szCs w:val="22"/>
        </w:rPr>
      </w:pPr>
    </w:p>
    <w:p w14:paraId="2A25007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39.5</w:t>
      </w:r>
      <w:r w:rsidRPr="00EA48C9">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6890BAB6" w14:textId="77777777" w:rsidR="00EA48C9" w:rsidRPr="00EA48C9" w:rsidRDefault="00EA48C9" w:rsidP="00EA48C9">
      <w:pPr>
        <w:jc w:val="both"/>
        <w:rPr>
          <w:rFonts w:ascii="Arial" w:hAnsi="Arial" w:cs="Arial"/>
          <w:sz w:val="22"/>
          <w:szCs w:val="22"/>
        </w:rPr>
      </w:pPr>
    </w:p>
    <w:p w14:paraId="1357C943"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40</w:t>
      </w:r>
      <w:r w:rsidRPr="00EA48C9">
        <w:rPr>
          <w:rFonts w:ascii="Arial" w:hAnsi="Arial" w:cs="Arial"/>
          <w:b/>
          <w:sz w:val="22"/>
          <w:szCs w:val="22"/>
        </w:rPr>
        <w:tab/>
        <w:t>FORCE MAJEURE</w:t>
      </w:r>
    </w:p>
    <w:p w14:paraId="29D0CD75"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4A66CB3C" w14:textId="77777777" w:rsidR="00EA48C9" w:rsidRPr="00EA48C9" w:rsidRDefault="00EA48C9" w:rsidP="00EA48C9">
      <w:pPr>
        <w:jc w:val="both"/>
        <w:rPr>
          <w:rFonts w:ascii="Arial" w:hAnsi="Arial" w:cs="Arial"/>
          <w:sz w:val="22"/>
          <w:szCs w:val="22"/>
        </w:rPr>
      </w:pPr>
    </w:p>
    <w:p w14:paraId="648F8C72"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41</w:t>
      </w:r>
      <w:r w:rsidRPr="00EA48C9">
        <w:rPr>
          <w:rFonts w:ascii="Arial" w:hAnsi="Arial" w:cs="Arial"/>
          <w:b/>
          <w:sz w:val="22"/>
          <w:szCs w:val="22"/>
        </w:rPr>
        <w:tab/>
        <w:t>TRANSPARENCY</w:t>
      </w:r>
    </w:p>
    <w:p w14:paraId="720BCE79"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49FCE8B9" w14:textId="77777777" w:rsidR="00EA48C9" w:rsidRPr="00EA48C9" w:rsidRDefault="00EA48C9" w:rsidP="00EA48C9">
      <w:pPr>
        <w:jc w:val="both"/>
        <w:rPr>
          <w:rFonts w:ascii="Arial" w:hAnsi="Arial" w:cs="Arial"/>
          <w:sz w:val="22"/>
          <w:szCs w:val="22"/>
        </w:rPr>
      </w:pPr>
    </w:p>
    <w:p w14:paraId="0678E949"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42</w:t>
      </w:r>
      <w:r w:rsidRPr="00EA48C9">
        <w:rPr>
          <w:rFonts w:ascii="Arial" w:hAnsi="Arial" w:cs="Arial"/>
          <w:b/>
          <w:sz w:val="22"/>
          <w:szCs w:val="22"/>
        </w:rPr>
        <w:tab/>
        <w:t>CHANGE ORDER RATE AND PROCEDURE</w:t>
      </w:r>
    </w:p>
    <w:p w14:paraId="679A547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42.1</w:t>
      </w:r>
      <w:r w:rsidRPr="00EA48C9">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26A6FC86" w14:textId="77777777" w:rsidR="00EA48C9" w:rsidRPr="00EA48C9" w:rsidRDefault="00EA48C9" w:rsidP="00EA48C9">
      <w:pPr>
        <w:jc w:val="both"/>
        <w:rPr>
          <w:rFonts w:ascii="Arial" w:hAnsi="Arial" w:cs="Arial"/>
          <w:sz w:val="22"/>
          <w:szCs w:val="22"/>
        </w:rPr>
      </w:pPr>
    </w:p>
    <w:p w14:paraId="6F32695C"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42.2</w:t>
      </w:r>
      <w:r w:rsidRPr="00EA48C9">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7C00CF9A" w14:textId="77777777" w:rsidR="00EA48C9" w:rsidRPr="00EA48C9" w:rsidRDefault="00EA48C9" w:rsidP="00EA48C9">
      <w:pPr>
        <w:jc w:val="both"/>
        <w:rPr>
          <w:rFonts w:ascii="Arial" w:hAnsi="Arial" w:cs="Arial"/>
          <w:sz w:val="22"/>
          <w:szCs w:val="22"/>
        </w:rPr>
      </w:pPr>
    </w:p>
    <w:p w14:paraId="4629376A"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42.3</w:t>
      </w:r>
      <w:r w:rsidRPr="00EA48C9">
        <w:rPr>
          <w:rFonts w:ascii="Arial" w:hAnsi="Arial" w:cs="Arial"/>
          <w:sz w:val="22"/>
          <w:szCs w:val="22"/>
        </w:rPr>
        <w:tab/>
        <w:t xml:space="preserve">With respect to any change orders issued in accordance with this Article, the Licensor shall be compensated for work performed under a change order according to the hourly change order rate of </w:t>
      </w:r>
      <w:bookmarkStart w:id="271" w:name="rateperhour"/>
      <w:bookmarkEnd w:id="271"/>
      <w:r w:rsidRPr="00EA48C9">
        <w:rPr>
          <w:rFonts w:ascii="Arial" w:hAnsi="Arial" w:cs="Arial"/>
          <w:sz w:val="22"/>
          <w:szCs w:val="22"/>
        </w:rPr>
        <w:t>$</w:t>
      </w:r>
      <w:r w:rsidRPr="00EA48C9">
        <w:rPr>
          <w:rFonts w:ascii="Arial" w:hAnsi="Arial" w:cs="Arial"/>
          <w:sz w:val="22"/>
          <w:szCs w:val="22"/>
          <w:highlight w:val="yellow"/>
        </w:rPr>
        <w:t>INSERT AMOUNT</w:t>
      </w:r>
      <w:r w:rsidRPr="00EA48C9">
        <w:rPr>
          <w:rFonts w:ascii="Arial" w:hAnsi="Arial" w:cs="Arial"/>
          <w:sz w:val="22"/>
          <w:szCs w:val="22"/>
        </w:rPr>
        <w:t xml:space="preserve"> per hour.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w:t>
      </w:r>
      <w:r w:rsidRPr="00EA48C9">
        <w:rPr>
          <w:rFonts w:ascii="Arial" w:hAnsi="Arial" w:cs="Arial"/>
          <w:sz w:val="22"/>
          <w:szCs w:val="22"/>
        </w:rPr>
        <w:lastRenderedPageBreak/>
        <w:t>the change order. The Licensor shall invoice the Licensee upon acceptance by the Licensee of all work documented in the change order, and the Licensee shall pay invoice amounts on the terms set forth in this Agreement.</w:t>
      </w:r>
    </w:p>
    <w:p w14:paraId="363FA9B6" w14:textId="77777777" w:rsidR="00EA48C9" w:rsidRPr="00EA48C9" w:rsidRDefault="00EA48C9" w:rsidP="00EA48C9">
      <w:pPr>
        <w:jc w:val="both"/>
        <w:rPr>
          <w:rFonts w:ascii="Arial" w:hAnsi="Arial" w:cs="Arial"/>
          <w:sz w:val="22"/>
          <w:szCs w:val="22"/>
        </w:rPr>
      </w:pPr>
    </w:p>
    <w:p w14:paraId="435E7A8B"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42.4</w:t>
      </w:r>
      <w:r w:rsidRPr="00EA48C9">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1A8FEEA8" w14:textId="77777777" w:rsidR="00EA48C9" w:rsidRPr="00EA48C9" w:rsidRDefault="00EA48C9" w:rsidP="00EA48C9">
      <w:pPr>
        <w:jc w:val="both"/>
        <w:rPr>
          <w:rFonts w:ascii="Arial" w:hAnsi="Arial" w:cs="Arial"/>
          <w:sz w:val="22"/>
          <w:szCs w:val="22"/>
        </w:rPr>
      </w:pPr>
    </w:p>
    <w:p w14:paraId="1EC35370"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42.5</w:t>
      </w:r>
      <w:r w:rsidRPr="00EA48C9">
        <w:rPr>
          <w:rFonts w:ascii="Arial" w:hAnsi="Arial" w:cs="Arial"/>
          <w:sz w:val="22"/>
          <w:szCs w:val="22"/>
        </w:rPr>
        <w:tab/>
        <w:t>The Licensor will include in the progress reports delivered under this Agreement, the status of work performed under all then¬ current change orders.</w:t>
      </w:r>
    </w:p>
    <w:p w14:paraId="4664B033" w14:textId="77777777" w:rsidR="00EA48C9" w:rsidRPr="00EA48C9" w:rsidRDefault="00EA48C9" w:rsidP="00EA48C9">
      <w:pPr>
        <w:jc w:val="both"/>
        <w:rPr>
          <w:rFonts w:ascii="Arial" w:hAnsi="Arial" w:cs="Arial"/>
          <w:sz w:val="22"/>
          <w:szCs w:val="22"/>
        </w:rPr>
      </w:pPr>
    </w:p>
    <w:p w14:paraId="1FC87D6E"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42.6</w:t>
      </w:r>
      <w:r w:rsidRPr="00EA48C9">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6980A3D3" w14:textId="77777777" w:rsidR="00EA48C9" w:rsidRPr="00EA48C9" w:rsidRDefault="00EA48C9" w:rsidP="00EA48C9">
      <w:pPr>
        <w:jc w:val="both"/>
        <w:rPr>
          <w:rFonts w:ascii="Arial" w:hAnsi="Arial" w:cs="Arial"/>
          <w:sz w:val="22"/>
          <w:szCs w:val="22"/>
        </w:rPr>
      </w:pPr>
    </w:p>
    <w:p w14:paraId="0719BEB5" w14:textId="77777777" w:rsidR="00EA48C9" w:rsidRPr="00EA48C9" w:rsidRDefault="00EA48C9" w:rsidP="00EA48C9">
      <w:pPr>
        <w:jc w:val="both"/>
        <w:rPr>
          <w:rFonts w:ascii="Arial" w:hAnsi="Arial" w:cs="Arial"/>
          <w:sz w:val="22"/>
          <w:szCs w:val="22"/>
        </w:rPr>
      </w:pPr>
      <w:r w:rsidRPr="00EA48C9">
        <w:rPr>
          <w:rFonts w:ascii="Arial" w:hAnsi="Arial" w:cs="Arial"/>
          <w:b/>
          <w:sz w:val="22"/>
          <w:szCs w:val="22"/>
        </w:rPr>
        <w:t>42.7</w:t>
      </w:r>
      <w:r w:rsidRPr="00EA48C9">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01B5CC32" w14:textId="77777777" w:rsidR="00EA48C9" w:rsidRPr="00EA48C9" w:rsidRDefault="00EA48C9" w:rsidP="00EA48C9">
      <w:pPr>
        <w:jc w:val="both"/>
        <w:rPr>
          <w:rFonts w:ascii="Arial" w:hAnsi="Arial" w:cs="Arial"/>
          <w:sz w:val="22"/>
          <w:szCs w:val="22"/>
        </w:rPr>
      </w:pPr>
    </w:p>
    <w:p w14:paraId="3667549C"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ARTICLE 43</w:t>
      </w:r>
      <w:r w:rsidRPr="00EA48C9">
        <w:rPr>
          <w:rFonts w:ascii="Arial" w:hAnsi="Arial" w:cs="Arial"/>
          <w:b/>
          <w:sz w:val="22"/>
          <w:szCs w:val="22"/>
        </w:rPr>
        <w:tab/>
        <w:t>PERFORMANCE BOND</w:t>
      </w:r>
    </w:p>
    <w:p w14:paraId="3525B23A"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 xml:space="preserve">As a condition precedent to the formation of this Agreement, the Licensor must provide a performance bond as herein described. To secure the Licensor’s performance, the Licensor shall procure, submit to the State with this executed Agreement, and maintain in effect at all times during the course of this Agreement a performance bond in the amount of $360,000.00. 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bond and shall identify a contact person to be notified in the event the State is required to take action against the bond. The term of the performance bond shall be concurrent with the term of this Agreement, with the exception of post-warranty maintenance and support, and shall not be released to Licensor until final acceptance of all products and deliverables required herein or until the warranty period, if any, has expired, whichever occurs last. If applicable, and at the State’s sole discretion, the State may, at any time during the warranty period, review Licensor’s performance and performance of the products/services delivered and determine that the Licensor’s performance bond may be reduced or released prior to expiration of the full warranty period. The performance bond shall be procured at Licensor’s expense and be payable to MDWFP. The cost of the bond may be invoiced to the MDWFP after project initiation only if itemized in the Licensor’s cost proposal and in the attached Exhibit A.  Prior to approval of the </w:t>
      </w:r>
      <w:r w:rsidRPr="00EA48C9">
        <w:rPr>
          <w:rFonts w:ascii="Arial" w:hAnsi="Arial" w:cs="Arial"/>
          <w:sz w:val="22"/>
          <w:szCs w:val="22"/>
        </w:rPr>
        <w:lastRenderedPageBreak/>
        <w:t>performance bond, the State reserves the right to review the bond and require Licensor to substitute an acceptable bond in such form as the State may reasonably require. The premiums on such bond shall be paid by Licensor. The bond must specifically refer to this Agreement and shall bind the surety to all of the terms and conditions of this Agreement. If the Agreement is terminated due to Licensor’s failure to comply with the terms thereof, MDWFP may claim against the performance bond.</w:t>
      </w:r>
    </w:p>
    <w:p w14:paraId="0233257A" w14:textId="77777777" w:rsidR="00EA48C9" w:rsidRPr="00EA48C9" w:rsidRDefault="00EA48C9" w:rsidP="00EA48C9">
      <w:pPr>
        <w:spacing w:after="200" w:line="276" w:lineRule="auto"/>
        <w:jc w:val="both"/>
        <w:rPr>
          <w:rFonts w:ascii="Arial" w:hAnsi="Arial" w:cs="Arial"/>
          <w:sz w:val="22"/>
          <w:szCs w:val="22"/>
        </w:rPr>
      </w:pPr>
      <w:r w:rsidRPr="00EA48C9">
        <w:rPr>
          <w:rFonts w:ascii="Arial" w:hAnsi="Arial" w:cs="Arial"/>
          <w:sz w:val="22"/>
          <w:szCs w:val="22"/>
        </w:rPr>
        <w:br w:type="page"/>
      </w:r>
    </w:p>
    <w:p w14:paraId="7F317AF4" w14:textId="77777777" w:rsidR="00EA48C9" w:rsidRPr="00EA48C9" w:rsidRDefault="00EA48C9" w:rsidP="00EA48C9">
      <w:pPr>
        <w:jc w:val="both"/>
        <w:rPr>
          <w:rFonts w:ascii="Arial" w:hAnsi="Arial" w:cs="Arial"/>
          <w:sz w:val="22"/>
          <w:szCs w:val="22"/>
        </w:rPr>
      </w:pPr>
    </w:p>
    <w:p w14:paraId="2846E758" w14:textId="77777777" w:rsidR="00EA48C9" w:rsidRPr="00EA48C9" w:rsidRDefault="00EA48C9" w:rsidP="00EA48C9">
      <w:pPr>
        <w:jc w:val="both"/>
        <w:rPr>
          <w:rFonts w:ascii="Arial" w:hAnsi="Arial" w:cs="Arial"/>
          <w:sz w:val="22"/>
          <w:szCs w:val="22"/>
        </w:rPr>
      </w:pPr>
      <w:r w:rsidRPr="00EA48C9">
        <w:rPr>
          <w:rFonts w:ascii="Arial" w:hAnsi="Arial" w:cs="Arial"/>
          <w:sz w:val="22"/>
          <w:szCs w:val="22"/>
        </w:rPr>
        <w:t>For the faithful performance of the terms of this Agreement, the parties hereto have caused this Agreement to be executed by their undersigned authorized representatives.</w:t>
      </w:r>
    </w:p>
    <w:p w14:paraId="4325D962" w14:textId="77777777" w:rsidR="00EA48C9" w:rsidRPr="00EA48C9" w:rsidRDefault="00EA48C9" w:rsidP="00EA48C9">
      <w:pPr>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EA48C9" w:rsidRPr="00EA48C9" w14:paraId="3D5067EE" w14:textId="77777777" w:rsidTr="001D6AE1">
        <w:trPr>
          <w:trHeight w:val="576"/>
        </w:trPr>
        <w:tc>
          <w:tcPr>
            <w:tcW w:w="4767" w:type="dxa"/>
          </w:tcPr>
          <w:p w14:paraId="1E116A35" w14:textId="77777777" w:rsidR="00EA48C9" w:rsidRPr="00EA48C9" w:rsidRDefault="00EA48C9" w:rsidP="00EA48C9">
            <w:pPr>
              <w:keepNext/>
              <w:keepLines/>
              <w:jc w:val="both"/>
              <w:rPr>
                <w:rFonts w:ascii="Arial" w:hAnsi="Arial" w:cs="Arial"/>
                <w:b/>
                <w:bCs/>
                <w:sz w:val="22"/>
                <w:szCs w:val="22"/>
              </w:rPr>
            </w:pPr>
            <w:r w:rsidRPr="00EA48C9">
              <w:rPr>
                <w:rFonts w:ascii="Arial" w:hAnsi="Arial" w:cs="Arial"/>
                <w:b/>
                <w:bCs/>
                <w:sz w:val="22"/>
                <w:szCs w:val="22"/>
              </w:rPr>
              <w:t>State of Mississippi, Department of</w:t>
            </w:r>
            <w:r w:rsidRPr="00EA48C9">
              <w:rPr>
                <w:rFonts w:ascii="Arial" w:hAnsi="Arial" w:cs="Arial"/>
                <w:b/>
                <w:bCs/>
                <w:sz w:val="22"/>
                <w:szCs w:val="22"/>
              </w:rPr>
              <w:tab/>
            </w:r>
          </w:p>
          <w:p w14:paraId="1D24326C"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 xml:space="preserve">Information Technology Services, on behalf of </w:t>
            </w:r>
            <w:bookmarkStart w:id="272" w:name="agencyname3"/>
            <w:bookmarkEnd w:id="272"/>
            <w:r w:rsidRPr="00EA48C9">
              <w:rPr>
                <w:rFonts w:ascii="Arial" w:hAnsi="Arial" w:cs="Arial"/>
                <w:b/>
                <w:bCs/>
                <w:sz w:val="22"/>
                <w:szCs w:val="22"/>
              </w:rPr>
              <w:t>Mississippi Department of Wildlife, Fisheries, and Parks</w:t>
            </w:r>
          </w:p>
          <w:p w14:paraId="10AF116F" w14:textId="77777777" w:rsidR="00EA48C9" w:rsidRPr="00EA48C9" w:rsidRDefault="00EA48C9" w:rsidP="00EA48C9">
            <w:pPr>
              <w:keepNext/>
              <w:keepLines/>
              <w:jc w:val="both"/>
              <w:rPr>
                <w:rFonts w:ascii="Arial" w:hAnsi="Arial" w:cs="Arial"/>
                <w:sz w:val="22"/>
                <w:szCs w:val="22"/>
              </w:rPr>
            </w:pPr>
          </w:p>
        </w:tc>
        <w:tc>
          <w:tcPr>
            <w:tcW w:w="288" w:type="dxa"/>
          </w:tcPr>
          <w:p w14:paraId="273C8BA5" w14:textId="77777777" w:rsidR="00EA48C9" w:rsidRPr="00EA48C9" w:rsidRDefault="00EA48C9" w:rsidP="00EA48C9">
            <w:pPr>
              <w:keepNext/>
              <w:keepLines/>
              <w:jc w:val="both"/>
              <w:rPr>
                <w:rFonts w:ascii="Arial" w:hAnsi="Arial" w:cs="Arial"/>
                <w:b/>
                <w:sz w:val="22"/>
                <w:szCs w:val="22"/>
              </w:rPr>
            </w:pPr>
          </w:p>
        </w:tc>
        <w:tc>
          <w:tcPr>
            <w:tcW w:w="4767" w:type="dxa"/>
          </w:tcPr>
          <w:p w14:paraId="58C5F4E2" w14:textId="77777777" w:rsidR="00EA48C9" w:rsidRPr="00EA48C9" w:rsidRDefault="00EA48C9" w:rsidP="00EA48C9">
            <w:pPr>
              <w:keepNext/>
              <w:keepLines/>
              <w:jc w:val="both"/>
              <w:rPr>
                <w:rFonts w:ascii="Arial" w:hAnsi="Arial" w:cs="Arial"/>
                <w:b/>
                <w:bCs/>
                <w:sz w:val="22"/>
                <w:szCs w:val="22"/>
              </w:rPr>
            </w:pPr>
            <w:bookmarkStart w:id="273" w:name="vendorname4"/>
            <w:bookmarkEnd w:id="273"/>
            <w:r w:rsidRPr="00EA48C9">
              <w:rPr>
                <w:rFonts w:ascii="Arial" w:hAnsi="Arial" w:cs="Arial"/>
                <w:b/>
                <w:bCs/>
                <w:sz w:val="22"/>
                <w:szCs w:val="22"/>
                <w:highlight w:val="yellow"/>
              </w:rPr>
              <w:t>INSERT VENDOR NAME</w:t>
            </w:r>
          </w:p>
        </w:tc>
      </w:tr>
      <w:tr w:rsidR="00EA48C9" w:rsidRPr="00EA48C9" w14:paraId="3713F07E" w14:textId="77777777" w:rsidTr="001D6AE1">
        <w:trPr>
          <w:trHeight w:val="576"/>
        </w:trPr>
        <w:tc>
          <w:tcPr>
            <w:tcW w:w="4767" w:type="dxa"/>
            <w:vAlign w:val="bottom"/>
          </w:tcPr>
          <w:p w14:paraId="50AFE988"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By:________________________________</w:t>
            </w:r>
          </w:p>
        </w:tc>
        <w:tc>
          <w:tcPr>
            <w:tcW w:w="288" w:type="dxa"/>
          </w:tcPr>
          <w:p w14:paraId="079ED89B" w14:textId="77777777" w:rsidR="00EA48C9" w:rsidRPr="00EA48C9" w:rsidRDefault="00EA48C9" w:rsidP="00EA48C9">
            <w:pPr>
              <w:keepNext/>
              <w:keepLines/>
              <w:jc w:val="both"/>
              <w:rPr>
                <w:rFonts w:ascii="Arial" w:hAnsi="Arial" w:cs="Arial"/>
                <w:b/>
                <w:bCs/>
                <w:sz w:val="22"/>
                <w:szCs w:val="22"/>
              </w:rPr>
            </w:pPr>
          </w:p>
        </w:tc>
        <w:tc>
          <w:tcPr>
            <w:tcW w:w="4767" w:type="dxa"/>
            <w:vAlign w:val="bottom"/>
          </w:tcPr>
          <w:p w14:paraId="73E86FBF"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By:_______________________________</w:t>
            </w:r>
          </w:p>
        </w:tc>
      </w:tr>
      <w:tr w:rsidR="00EA48C9" w:rsidRPr="00EA48C9" w14:paraId="2E4CDED9" w14:textId="77777777" w:rsidTr="001D6AE1">
        <w:trPr>
          <w:trHeight w:val="288"/>
        </w:trPr>
        <w:tc>
          <w:tcPr>
            <w:tcW w:w="4767" w:type="dxa"/>
          </w:tcPr>
          <w:p w14:paraId="12FDE03A"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Authorized Signature</w:t>
            </w:r>
          </w:p>
        </w:tc>
        <w:tc>
          <w:tcPr>
            <w:tcW w:w="288" w:type="dxa"/>
          </w:tcPr>
          <w:p w14:paraId="308FCB5E" w14:textId="77777777" w:rsidR="00EA48C9" w:rsidRPr="00EA48C9" w:rsidRDefault="00EA48C9" w:rsidP="00EA48C9">
            <w:pPr>
              <w:keepNext/>
              <w:keepLines/>
              <w:jc w:val="both"/>
              <w:rPr>
                <w:rFonts w:ascii="Arial" w:hAnsi="Arial" w:cs="Arial"/>
                <w:b/>
                <w:bCs/>
                <w:sz w:val="22"/>
                <w:szCs w:val="22"/>
              </w:rPr>
            </w:pPr>
          </w:p>
        </w:tc>
        <w:tc>
          <w:tcPr>
            <w:tcW w:w="4767" w:type="dxa"/>
          </w:tcPr>
          <w:p w14:paraId="177994C4"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Authorized Signature</w:t>
            </w:r>
          </w:p>
        </w:tc>
      </w:tr>
      <w:tr w:rsidR="00EA48C9" w:rsidRPr="00EA48C9" w14:paraId="26AB480D" w14:textId="77777777" w:rsidTr="001D6AE1">
        <w:trPr>
          <w:trHeight w:val="576"/>
        </w:trPr>
        <w:tc>
          <w:tcPr>
            <w:tcW w:w="4767" w:type="dxa"/>
            <w:vAlign w:val="bottom"/>
          </w:tcPr>
          <w:p w14:paraId="560DF4C9"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Printed Name: Craig P. Orgeron, Ph.D.</w:t>
            </w:r>
          </w:p>
        </w:tc>
        <w:tc>
          <w:tcPr>
            <w:tcW w:w="288" w:type="dxa"/>
          </w:tcPr>
          <w:p w14:paraId="7074A792" w14:textId="77777777" w:rsidR="00EA48C9" w:rsidRPr="00EA48C9" w:rsidRDefault="00EA48C9" w:rsidP="00EA48C9">
            <w:pPr>
              <w:keepNext/>
              <w:keepLines/>
              <w:jc w:val="both"/>
              <w:rPr>
                <w:rFonts w:ascii="Arial" w:hAnsi="Arial" w:cs="Arial"/>
                <w:b/>
                <w:bCs/>
                <w:sz w:val="22"/>
                <w:szCs w:val="22"/>
              </w:rPr>
            </w:pPr>
          </w:p>
        </w:tc>
        <w:tc>
          <w:tcPr>
            <w:tcW w:w="4767" w:type="dxa"/>
            <w:vAlign w:val="bottom"/>
          </w:tcPr>
          <w:p w14:paraId="464D831A"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Printed Name:______________________</w:t>
            </w:r>
          </w:p>
        </w:tc>
      </w:tr>
      <w:tr w:rsidR="00EA48C9" w:rsidRPr="00EA48C9" w14:paraId="7C2D472F" w14:textId="77777777" w:rsidTr="001D6AE1">
        <w:trPr>
          <w:trHeight w:val="576"/>
        </w:trPr>
        <w:tc>
          <w:tcPr>
            <w:tcW w:w="4767" w:type="dxa"/>
            <w:vAlign w:val="bottom"/>
          </w:tcPr>
          <w:p w14:paraId="13F7D8C4" w14:textId="77777777" w:rsidR="00EA48C9" w:rsidRPr="00EA48C9" w:rsidRDefault="00EA48C9" w:rsidP="00EA48C9">
            <w:pPr>
              <w:keepNext/>
              <w:keepLines/>
              <w:jc w:val="both"/>
              <w:rPr>
                <w:rFonts w:ascii="Arial" w:hAnsi="Arial" w:cs="Arial"/>
                <w:b/>
                <w:bCs/>
                <w:sz w:val="22"/>
                <w:szCs w:val="22"/>
              </w:rPr>
            </w:pPr>
            <w:r w:rsidRPr="00EA48C9">
              <w:rPr>
                <w:rFonts w:ascii="Arial" w:hAnsi="Arial" w:cs="Arial"/>
                <w:b/>
                <w:bCs/>
                <w:sz w:val="22"/>
                <w:szCs w:val="22"/>
              </w:rPr>
              <w:t>Title: Executive Director</w:t>
            </w:r>
          </w:p>
        </w:tc>
        <w:tc>
          <w:tcPr>
            <w:tcW w:w="288" w:type="dxa"/>
          </w:tcPr>
          <w:p w14:paraId="264399F7" w14:textId="77777777" w:rsidR="00EA48C9" w:rsidRPr="00EA48C9" w:rsidRDefault="00EA48C9" w:rsidP="00EA48C9">
            <w:pPr>
              <w:keepNext/>
              <w:keepLines/>
              <w:jc w:val="both"/>
              <w:rPr>
                <w:rFonts w:ascii="Arial" w:hAnsi="Arial" w:cs="Arial"/>
                <w:b/>
                <w:bCs/>
                <w:sz w:val="22"/>
                <w:szCs w:val="22"/>
              </w:rPr>
            </w:pPr>
          </w:p>
        </w:tc>
        <w:tc>
          <w:tcPr>
            <w:tcW w:w="4767" w:type="dxa"/>
            <w:vAlign w:val="bottom"/>
          </w:tcPr>
          <w:p w14:paraId="0A766C81" w14:textId="77777777" w:rsidR="00EA48C9" w:rsidRPr="00EA48C9" w:rsidRDefault="00EA48C9" w:rsidP="00EA48C9">
            <w:pPr>
              <w:keepNext/>
              <w:keepLines/>
              <w:jc w:val="both"/>
              <w:rPr>
                <w:rFonts w:ascii="Arial" w:hAnsi="Arial" w:cs="Arial"/>
                <w:b/>
                <w:bCs/>
                <w:sz w:val="22"/>
                <w:szCs w:val="22"/>
              </w:rPr>
            </w:pPr>
            <w:r w:rsidRPr="00EA48C9">
              <w:rPr>
                <w:rFonts w:ascii="Arial" w:hAnsi="Arial" w:cs="Arial"/>
                <w:b/>
                <w:bCs/>
                <w:sz w:val="22"/>
                <w:szCs w:val="22"/>
              </w:rPr>
              <w:t>Title:______________________________</w:t>
            </w:r>
          </w:p>
        </w:tc>
      </w:tr>
      <w:tr w:rsidR="00EA48C9" w:rsidRPr="00EA48C9" w14:paraId="120AF29F" w14:textId="77777777" w:rsidTr="001D6AE1">
        <w:trPr>
          <w:trHeight w:val="576"/>
        </w:trPr>
        <w:tc>
          <w:tcPr>
            <w:tcW w:w="4767" w:type="dxa"/>
            <w:vAlign w:val="bottom"/>
          </w:tcPr>
          <w:p w14:paraId="7010CA5C"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Date: ______________________________</w:t>
            </w:r>
          </w:p>
        </w:tc>
        <w:tc>
          <w:tcPr>
            <w:tcW w:w="288" w:type="dxa"/>
          </w:tcPr>
          <w:p w14:paraId="4F302807" w14:textId="77777777" w:rsidR="00EA48C9" w:rsidRPr="00EA48C9" w:rsidRDefault="00EA48C9" w:rsidP="00EA48C9">
            <w:pPr>
              <w:keepNext/>
              <w:keepLines/>
              <w:jc w:val="both"/>
              <w:rPr>
                <w:rFonts w:ascii="Arial" w:hAnsi="Arial" w:cs="Arial"/>
                <w:b/>
                <w:bCs/>
                <w:sz w:val="22"/>
                <w:szCs w:val="22"/>
              </w:rPr>
            </w:pPr>
          </w:p>
        </w:tc>
        <w:tc>
          <w:tcPr>
            <w:tcW w:w="4767" w:type="dxa"/>
            <w:vAlign w:val="bottom"/>
          </w:tcPr>
          <w:p w14:paraId="057C7115" w14:textId="77777777" w:rsidR="00EA48C9" w:rsidRPr="00EA48C9" w:rsidRDefault="00EA48C9" w:rsidP="00EA48C9">
            <w:pPr>
              <w:keepNext/>
              <w:keepLines/>
              <w:jc w:val="both"/>
              <w:rPr>
                <w:rFonts w:ascii="Arial" w:hAnsi="Arial" w:cs="Arial"/>
                <w:sz w:val="22"/>
                <w:szCs w:val="22"/>
              </w:rPr>
            </w:pPr>
            <w:r w:rsidRPr="00EA48C9">
              <w:rPr>
                <w:rFonts w:ascii="Arial" w:hAnsi="Arial" w:cs="Arial"/>
                <w:b/>
                <w:bCs/>
                <w:sz w:val="22"/>
                <w:szCs w:val="22"/>
              </w:rPr>
              <w:t>Date:______________________________</w:t>
            </w:r>
          </w:p>
        </w:tc>
      </w:tr>
    </w:tbl>
    <w:p w14:paraId="490A75E2" w14:textId="77777777" w:rsidR="00EA48C9" w:rsidRPr="00EA48C9" w:rsidRDefault="00EA48C9" w:rsidP="00EA48C9">
      <w:pPr>
        <w:jc w:val="both"/>
        <w:rPr>
          <w:rFonts w:ascii="Arial" w:hAnsi="Arial" w:cs="Arial"/>
          <w:sz w:val="22"/>
          <w:szCs w:val="22"/>
        </w:rPr>
      </w:pPr>
    </w:p>
    <w:p w14:paraId="31593AD1" w14:textId="77777777" w:rsidR="00EA48C9" w:rsidRPr="00EA48C9" w:rsidRDefault="00EA48C9" w:rsidP="00EA48C9">
      <w:pPr>
        <w:jc w:val="both"/>
        <w:rPr>
          <w:rFonts w:ascii="Arial" w:hAnsi="Arial" w:cs="Arial"/>
          <w:sz w:val="22"/>
          <w:szCs w:val="22"/>
        </w:rPr>
      </w:pPr>
    </w:p>
    <w:p w14:paraId="473223FD" w14:textId="77777777" w:rsidR="00EA48C9" w:rsidRPr="00EA48C9" w:rsidRDefault="00EA48C9" w:rsidP="00EA48C9">
      <w:pPr>
        <w:jc w:val="both"/>
        <w:rPr>
          <w:rFonts w:ascii="Arial" w:hAnsi="Arial" w:cs="Arial"/>
          <w:sz w:val="22"/>
          <w:szCs w:val="22"/>
        </w:rPr>
      </w:pPr>
    </w:p>
    <w:p w14:paraId="699B865C" w14:textId="77777777" w:rsidR="00EA48C9" w:rsidRPr="00EA48C9" w:rsidRDefault="00EA48C9" w:rsidP="00EA48C9">
      <w:pPr>
        <w:jc w:val="both"/>
        <w:rPr>
          <w:rFonts w:ascii="Arial" w:hAnsi="Arial" w:cs="Arial"/>
          <w:sz w:val="22"/>
          <w:szCs w:val="22"/>
        </w:rPr>
      </w:pPr>
    </w:p>
    <w:p w14:paraId="0E7E7561" w14:textId="77777777" w:rsidR="00EA48C9" w:rsidRPr="00EA48C9" w:rsidRDefault="00EA48C9" w:rsidP="00EA48C9">
      <w:pPr>
        <w:jc w:val="both"/>
        <w:rPr>
          <w:rFonts w:ascii="Arial" w:hAnsi="Arial" w:cs="Arial"/>
          <w:sz w:val="22"/>
          <w:szCs w:val="22"/>
        </w:rPr>
      </w:pPr>
    </w:p>
    <w:p w14:paraId="2469CAAE"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Mississippi Department of Wildlife, Fisheries</w:t>
      </w:r>
    </w:p>
    <w:p w14:paraId="099130C8"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and Parks</w:t>
      </w:r>
    </w:p>
    <w:p w14:paraId="22092BA5" w14:textId="77777777" w:rsidR="00EA48C9" w:rsidRPr="00EA48C9" w:rsidRDefault="00EA48C9" w:rsidP="00EA48C9">
      <w:pPr>
        <w:jc w:val="both"/>
        <w:rPr>
          <w:rFonts w:ascii="Arial" w:hAnsi="Arial" w:cs="Arial"/>
          <w:b/>
          <w:sz w:val="22"/>
          <w:szCs w:val="22"/>
        </w:rPr>
      </w:pPr>
    </w:p>
    <w:p w14:paraId="54DC1B41"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By: _________________________________</w:t>
      </w:r>
    </w:p>
    <w:p w14:paraId="1B0E5CF0"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ab/>
        <w:t>Authorized Signature</w:t>
      </w:r>
    </w:p>
    <w:p w14:paraId="1110323D" w14:textId="77777777" w:rsidR="00EA48C9" w:rsidRPr="00EA48C9" w:rsidRDefault="00EA48C9" w:rsidP="00EA48C9">
      <w:pPr>
        <w:jc w:val="both"/>
        <w:rPr>
          <w:rFonts w:ascii="Arial" w:hAnsi="Arial" w:cs="Arial"/>
          <w:b/>
          <w:sz w:val="22"/>
          <w:szCs w:val="22"/>
        </w:rPr>
      </w:pPr>
    </w:p>
    <w:p w14:paraId="356419D7"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Printed Name: Dr. Sam Polles, Ph.D.</w:t>
      </w:r>
    </w:p>
    <w:p w14:paraId="5C40121D" w14:textId="77777777" w:rsidR="00EA48C9" w:rsidRPr="00EA48C9" w:rsidRDefault="00EA48C9" w:rsidP="00EA48C9">
      <w:pPr>
        <w:jc w:val="both"/>
        <w:rPr>
          <w:rFonts w:ascii="Arial" w:hAnsi="Arial" w:cs="Arial"/>
          <w:b/>
          <w:sz w:val="22"/>
          <w:szCs w:val="22"/>
        </w:rPr>
      </w:pPr>
    </w:p>
    <w:p w14:paraId="2103C78A"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Title: Executive Director</w:t>
      </w:r>
    </w:p>
    <w:p w14:paraId="290ACD47" w14:textId="77777777" w:rsidR="00EA48C9" w:rsidRPr="00EA48C9" w:rsidRDefault="00EA48C9" w:rsidP="00EA48C9">
      <w:pPr>
        <w:jc w:val="both"/>
        <w:rPr>
          <w:rFonts w:ascii="Arial" w:hAnsi="Arial" w:cs="Arial"/>
          <w:b/>
          <w:sz w:val="22"/>
          <w:szCs w:val="22"/>
        </w:rPr>
      </w:pPr>
    </w:p>
    <w:p w14:paraId="1E71F5F6" w14:textId="77777777" w:rsidR="00EA48C9" w:rsidRPr="00EA48C9" w:rsidRDefault="00EA48C9" w:rsidP="00EA48C9">
      <w:pPr>
        <w:jc w:val="both"/>
        <w:rPr>
          <w:rFonts w:ascii="Arial" w:hAnsi="Arial" w:cs="Arial"/>
          <w:b/>
          <w:sz w:val="22"/>
          <w:szCs w:val="22"/>
        </w:rPr>
      </w:pPr>
      <w:r w:rsidRPr="00EA48C9">
        <w:rPr>
          <w:rFonts w:ascii="Arial" w:hAnsi="Arial" w:cs="Arial"/>
          <w:b/>
          <w:sz w:val="22"/>
          <w:szCs w:val="22"/>
        </w:rPr>
        <w:t>Date: ________________________________</w:t>
      </w:r>
    </w:p>
    <w:p w14:paraId="14F597B1" w14:textId="77777777" w:rsidR="00EA48C9" w:rsidRPr="00EA48C9" w:rsidRDefault="00EA48C9" w:rsidP="00EA48C9">
      <w:pPr>
        <w:spacing w:after="200" w:line="276" w:lineRule="auto"/>
        <w:jc w:val="both"/>
        <w:rPr>
          <w:rFonts w:ascii="Arial" w:hAnsi="Arial" w:cs="Arial"/>
          <w:sz w:val="22"/>
          <w:szCs w:val="22"/>
        </w:rPr>
      </w:pPr>
      <w:r w:rsidRPr="00EA48C9">
        <w:rPr>
          <w:rFonts w:ascii="Arial" w:hAnsi="Arial" w:cs="Arial"/>
          <w:sz w:val="22"/>
          <w:szCs w:val="22"/>
        </w:rPr>
        <w:br w:type="page"/>
      </w:r>
    </w:p>
    <w:p w14:paraId="2CC9130E" w14:textId="77777777" w:rsidR="00EA48C9" w:rsidRPr="00EA48C9" w:rsidRDefault="00EA48C9" w:rsidP="00EA48C9">
      <w:pPr>
        <w:jc w:val="center"/>
        <w:rPr>
          <w:rFonts w:ascii="Arial" w:hAnsi="Arial" w:cs="Arial"/>
          <w:b/>
          <w:sz w:val="22"/>
          <w:szCs w:val="22"/>
        </w:rPr>
      </w:pPr>
      <w:r>
        <w:rPr>
          <w:rFonts w:ascii="Arial" w:hAnsi="Arial" w:cs="Arial"/>
          <w:b/>
          <w:sz w:val="22"/>
          <w:szCs w:val="22"/>
        </w:rPr>
        <w:lastRenderedPageBreak/>
        <w:t>E</w:t>
      </w:r>
      <w:r w:rsidRPr="00EA48C9">
        <w:rPr>
          <w:rFonts w:ascii="Arial" w:hAnsi="Arial" w:cs="Arial"/>
          <w:b/>
          <w:sz w:val="22"/>
          <w:szCs w:val="22"/>
        </w:rPr>
        <w:t>XHIBIT A</w:t>
      </w:r>
    </w:p>
    <w:p w14:paraId="38ECCAF1" w14:textId="77777777" w:rsidR="00EA48C9" w:rsidRPr="00EA48C9" w:rsidRDefault="00EA48C9" w:rsidP="00EA48C9">
      <w:pPr>
        <w:jc w:val="center"/>
        <w:rPr>
          <w:rFonts w:ascii="Arial" w:hAnsi="Arial" w:cs="Arial"/>
          <w:sz w:val="22"/>
          <w:szCs w:val="22"/>
        </w:rPr>
      </w:pPr>
      <w:r w:rsidRPr="00EA48C9">
        <w:rPr>
          <w:rFonts w:ascii="Arial" w:hAnsi="Arial" w:cs="Arial"/>
          <w:b/>
          <w:sz w:val="22"/>
          <w:szCs w:val="22"/>
        </w:rPr>
        <w:t>Pricing  Table</w:t>
      </w:r>
    </w:p>
    <w:p w14:paraId="6F3244A2" w14:textId="77777777" w:rsidR="00EA48C9" w:rsidRDefault="00EA48C9" w:rsidP="00EA48C9"/>
    <w:p w14:paraId="767FE6D2" w14:textId="77777777" w:rsidR="00EA48C9" w:rsidRDefault="00EA48C9" w:rsidP="00EA48C9"/>
    <w:p w14:paraId="23C6FCC1" w14:textId="77777777" w:rsidR="00EA48C9" w:rsidRDefault="00EA48C9" w:rsidP="00EA48C9"/>
    <w:p w14:paraId="23DB3256" w14:textId="77777777" w:rsidR="00EA48C9" w:rsidRDefault="00EA48C9" w:rsidP="00EA48C9"/>
    <w:p w14:paraId="2B26C5E4" w14:textId="77777777" w:rsidR="00EA48C9" w:rsidRDefault="00EA48C9" w:rsidP="00EA48C9">
      <w:pPr>
        <w:rPr>
          <w:rFonts w:ascii="Arial" w:hAnsi="Arial" w:cs="Arial"/>
          <w:sz w:val="22"/>
          <w:szCs w:val="22"/>
        </w:rPr>
        <w:sectPr w:rsidR="00EA48C9">
          <w:headerReference w:type="default" r:id="rId39"/>
          <w:pgSz w:w="12240" w:h="15840" w:code="1"/>
          <w:pgMar w:top="1440" w:right="1440" w:bottom="1440" w:left="1440" w:header="720" w:footer="720" w:gutter="0"/>
          <w:cols w:space="720"/>
          <w:noEndnote/>
          <w:docGrid w:linePitch="254"/>
        </w:sectPr>
      </w:pPr>
    </w:p>
    <w:p w14:paraId="09827B99" w14:textId="77777777" w:rsidR="00D93BCF" w:rsidRPr="00AE2C65" w:rsidRDefault="00D93BCF" w:rsidP="00E60415">
      <w:pPr>
        <w:pStyle w:val="Heading1"/>
        <w:rPr>
          <w:rFonts w:ascii="Arial" w:hAnsi="Arial" w:cs="Arial"/>
          <w:b w:val="0"/>
          <w:sz w:val="22"/>
          <w:szCs w:val="22"/>
        </w:rPr>
      </w:pPr>
      <w:bookmarkStart w:id="274" w:name="_Toc483995382"/>
      <w:r w:rsidRPr="00AE2C65">
        <w:rPr>
          <w:rFonts w:ascii="Arial" w:hAnsi="Arial" w:cs="Arial"/>
          <w:sz w:val="22"/>
          <w:szCs w:val="22"/>
        </w:rPr>
        <w:lastRenderedPageBreak/>
        <w:t xml:space="preserve">ATTACHMENT </w:t>
      </w:r>
      <w:r w:rsidR="00946CD4">
        <w:rPr>
          <w:rFonts w:ascii="Arial" w:hAnsi="Arial" w:cs="Arial"/>
          <w:sz w:val="22"/>
          <w:szCs w:val="22"/>
        </w:rPr>
        <w:t>A</w:t>
      </w:r>
      <w:bookmarkEnd w:id="274"/>
    </w:p>
    <w:p w14:paraId="6DCC3FCC" w14:textId="77777777" w:rsidR="00D93BCF" w:rsidRDefault="00D93BCF" w:rsidP="00E60415">
      <w:pPr>
        <w:pStyle w:val="Heading2"/>
        <w:rPr>
          <w:rFonts w:ascii="Arial" w:hAnsi="Arial" w:cs="Arial"/>
          <w:b w:val="0"/>
          <w:sz w:val="22"/>
          <w:szCs w:val="22"/>
        </w:rPr>
      </w:pPr>
      <w:bookmarkStart w:id="275" w:name="_Toc483995383"/>
      <w:r>
        <w:rPr>
          <w:rFonts w:ascii="Arial" w:hAnsi="Arial" w:cs="Arial"/>
          <w:sz w:val="22"/>
          <w:szCs w:val="22"/>
        </w:rPr>
        <w:t>State of Mississippi Payment Card Processing</w:t>
      </w:r>
      <w:bookmarkEnd w:id="275"/>
    </w:p>
    <w:p w14:paraId="4FB85D2F" w14:textId="77777777" w:rsidR="00D93BCF" w:rsidRDefault="00D93BCF" w:rsidP="00D93BCF">
      <w:pPr>
        <w:rPr>
          <w:rFonts w:ascii="Arial" w:hAnsi="Arial" w:cs="Arial"/>
          <w:b/>
          <w:sz w:val="22"/>
          <w:szCs w:val="22"/>
        </w:rPr>
      </w:pPr>
    </w:p>
    <w:p w14:paraId="6EDBB973" w14:textId="77777777" w:rsidR="00D93BCF" w:rsidRPr="00780A99" w:rsidRDefault="00D93BCF" w:rsidP="00D93BCF">
      <w:pPr>
        <w:rPr>
          <w:sz w:val="22"/>
          <w:szCs w:val="22"/>
        </w:rPr>
      </w:pPr>
      <w:r w:rsidRPr="00780A99">
        <w:rPr>
          <w:rFonts w:ascii="Arial" w:hAnsi="Arial" w:cs="Arial"/>
          <w:sz w:val="22"/>
          <w:szCs w:val="22"/>
        </w:rPr>
        <w:t>Mississippi Interactive (MSI) will serve as the single point of entry for all e-commerce transactions. Awarded vendor will use Mississippi’s official payment processor for any of the following services where payment is required</w:t>
      </w:r>
      <w:r w:rsidRPr="00780A99">
        <w:rPr>
          <w:sz w:val="22"/>
          <w:szCs w:val="22"/>
        </w:rPr>
        <w:t xml:space="preserve">. </w:t>
      </w:r>
    </w:p>
    <w:p w14:paraId="7E6667C3" w14:textId="77777777" w:rsidR="00D93BCF" w:rsidRPr="00780A99" w:rsidRDefault="00D93BCF" w:rsidP="0061377C">
      <w:pPr>
        <w:pStyle w:val="Default"/>
        <w:numPr>
          <w:ilvl w:val="0"/>
          <w:numId w:val="12"/>
        </w:numPr>
        <w:rPr>
          <w:rFonts w:ascii="Arial" w:hAnsi="Arial" w:cs="Arial"/>
          <w:sz w:val="22"/>
          <w:szCs w:val="22"/>
        </w:rPr>
      </w:pPr>
      <w:r w:rsidRPr="00780A99">
        <w:rPr>
          <w:rFonts w:ascii="Arial" w:hAnsi="Arial" w:cs="Arial"/>
          <w:sz w:val="22"/>
          <w:szCs w:val="22"/>
        </w:rPr>
        <w:t xml:space="preserve">Web services </w:t>
      </w:r>
    </w:p>
    <w:p w14:paraId="39A78EC3" w14:textId="77777777" w:rsidR="00D93BCF" w:rsidRPr="00780A99" w:rsidRDefault="00D93BCF" w:rsidP="0061377C">
      <w:pPr>
        <w:pStyle w:val="Default"/>
        <w:numPr>
          <w:ilvl w:val="0"/>
          <w:numId w:val="12"/>
        </w:numPr>
        <w:spacing w:after="27"/>
        <w:rPr>
          <w:rFonts w:ascii="Arial" w:hAnsi="Arial" w:cs="Arial"/>
          <w:sz w:val="22"/>
          <w:szCs w:val="22"/>
        </w:rPr>
      </w:pPr>
      <w:r w:rsidRPr="00780A99">
        <w:rPr>
          <w:rFonts w:ascii="Arial" w:hAnsi="Arial" w:cs="Arial"/>
          <w:sz w:val="22"/>
          <w:szCs w:val="22"/>
        </w:rPr>
        <w:t xml:space="preserve">IVR services </w:t>
      </w:r>
    </w:p>
    <w:p w14:paraId="6C1CB078" w14:textId="77777777" w:rsidR="00D93BCF" w:rsidRPr="00780A99" w:rsidRDefault="00D93BCF" w:rsidP="0061377C">
      <w:pPr>
        <w:pStyle w:val="Default"/>
        <w:numPr>
          <w:ilvl w:val="0"/>
          <w:numId w:val="12"/>
        </w:numPr>
        <w:spacing w:after="27"/>
        <w:rPr>
          <w:rFonts w:ascii="Arial" w:hAnsi="Arial" w:cs="Arial"/>
          <w:sz w:val="22"/>
          <w:szCs w:val="22"/>
        </w:rPr>
      </w:pPr>
      <w:r w:rsidRPr="00780A99">
        <w:rPr>
          <w:rFonts w:ascii="Arial" w:hAnsi="Arial" w:cs="Arial"/>
          <w:sz w:val="22"/>
          <w:szCs w:val="22"/>
        </w:rPr>
        <w:t xml:space="preserve">Mobile services </w:t>
      </w:r>
    </w:p>
    <w:p w14:paraId="23AADF6F" w14:textId="77777777" w:rsidR="00D93BCF" w:rsidRPr="00780A99" w:rsidRDefault="00D93BCF" w:rsidP="0061377C">
      <w:pPr>
        <w:pStyle w:val="Default"/>
        <w:numPr>
          <w:ilvl w:val="0"/>
          <w:numId w:val="12"/>
        </w:numPr>
        <w:rPr>
          <w:rFonts w:ascii="Arial" w:hAnsi="Arial" w:cs="Arial"/>
          <w:sz w:val="22"/>
          <w:szCs w:val="22"/>
        </w:rPr>
      </w:pPr>
      <w:r w:rsidRPr="00780A99">
        <w:rPr>
          <w:rFonts w:ascii="Arial" w:hAnsi="Arial" w:cs="Arial"/>
          <w:sz w:val="22"/>
          <w:szCs w:val="22"/>
        </w:rPr>
        <w:t xml:space="preserve">Over the counter payment processing services </w:t>
      </w:r>
    </w:p>
    <w:p w14:paraId="6D4A7844" w14:textId="77777777" w:rsidR="00D93BCF" w:rsidRPr="00780A99" w:rsidRDefault="00D93BCF" w:rsidP="0061377C">
      <w:pPr>
        <w:pStyle w:val="Default"/>
        <w:numPr>
          <w:ilvl w:val="0"/>
          <w:numId w:val="12"/>
        </w:numPr>
        <w:rPr>
          <w:rFonts w:ascii="Arial" w:hAnsi="Arial" w:cs="Arial"/>
          <w:sz w:val="22"/>
          <w:szCs w:val="22"/>
        </w:rPr>
      </w:pPr>
      <w:r w:rsidRPr="00780A99">
        <w:rPr>
          <w:rFonts w:ascii="Arial" w:hAnsi="Arial" w:cs="Arial"/>
          <w:sz w:val="22"/>
          <w:szCs w:val="22"/>
        </w:rPr>
        <w:t>Kiosk services</w:t>
      </w:r>
    </w:p>
    <w:p w14:paraId="5CF4CBD4" w14:textId="77777777" w:rsidR="00D93BCF" w:rsidRPr="00780A99" w:rsidRDefault="00D93BCF" w:rsidP="0061377C">
      <w:pPr>
        <w:pStyle w:val="Default"/>
        <w:numPr>
          <w:ilvl w:val="0"/>
          <w:numId w:val="12"/>
        </w:numPr>
        <w:rPr>
          <w:rFonts w:ascii="Arial" w:hAnsi="Arial" w:cs="Arial"/>
          <w:sz w:val="22"/>
          <w:szCs w:val="22"/>
        </w:rPr>
      </w:pPr>
      <w:r w:rsidRPr="00780A99">
        <w:rPr>
          <w:rFonts w:ascii="Arial" w:hAnsi="Arial" w:cs="Arial"/>
          <w:sz w:val="22"/>
          <w:szCs w:val="22"/>
        </w:rPr>
        <w:t xml:space="preserve">Lock Box services </w:t>
      </w:r>
    </w:p>
    <w:p w14:paraId="363C590F" w14:textId="77777777" w:rsidR="00D93BCF" w:rsidRPr="00780A99" w:rsidRDefault="00D93BCF" w:rsidP="00D93BCF">
      <w:pPr>
        <w:pStyle w:val="Default"/>
        <w:rPr>
          <w:sz w:val="22"/>
          <w:szCs w:val="22"/>
        </w:rPr>
      </w:pPr>
    </w:p>
    <w:p w14:paraId="44317482" w14:textId="77777777" w:rsidR="00D93BCF" w:rsidRPr="00780A99" w:rsidRDefault="00D93BCF" w:rsidP="00D93BCF">
      <w:pPr>
        <w:pStyle w:val="Default"/>
        <w:rPr>
          <w:rFonts w:ascii="Arial" w:hAnsi="Arial" w:cs="Arial"/>
          <w:sz w:val="22"/>
          <w:szCs w:val="22"/>
        </w:rPr>
      </w:pPr>
      <w:r w:rsidRPr="00780A99">
        <w:rPr>
          <w:rFonts w:ascii="Arial" w:hAnsi="Arial" w:cs="Arial"/>
          <w:sz w:val="22"/>
          <w:szCs w:val="22"/>
        </w:rPr>
        <w:t xml:space="preserve">The following payment methods accepted through MSI include: Visa, MasterCard, American Express, Discover, electronic check and subscription (monthly billed).  </w:t>
      </w:r>
    </w:p>
    <w:p w14:paraId="384F73D2" w14:textId="77777777" w:rsidR="00D93BCF" w:rsidRPr="00780A99" w:rsidRDefault="00D93BCF" w:rsidP="00D93BCF">
      <w:pPr>
        <w:pStyle w:val="Default"/>
        <w:rPr>
          <w:rFonts w:ascii="Arial" w:hAnsi="Arial" w:cs="Arial"/>
          <w:sz w:val="22"/>
          <w:szCs w:val="22"/>
        </w:rPr>
      </w:pPr>
      <w:r w:rsidRPr="00780A99">
        <w:rPr>
          <w:sz w:val="22"/>
          <w:szCs w:val="22"/>
        </w:rPr>
        <w:br/>
      </w:r>
      <w:r w:rsidRPr="00780A99">
        <w:rPr>
          <w:rFonts w:ascii="Arial" w:hAnsi="Arial" w:cs="Arial"/>
          <w:b/>
          <w:sz w:val="22"/>
          <w:szCs w:val="22"/>
        </w:rPr>
        <w:t>DFA Administrative Rule</w:t>
      </w:r>
      <w:r w:rsidRPr="00780A99">
        <w:rPr>
          <w:rFonts w:ascii="Arial" w:hAnsi="Arial" w:cs="Arial"/>
          <w:sz w:val="22"/>
          <w:szCs w:val="22"/>
        </w:rPr>
        <w:br/>
        <w:t>The Department of Finance and Administration (DFA) established an administrative rule to be followed when agencies, in accordance with §27-104-33, Mississippi Code of 1972, Annotated, elect to accept payment by credit cards, charge cards, debit cards, electronic check (echeck) and other form of electronic payments for various services and fees collectible for agency purposes.  See Attachment 1 for Final Rule.</w:t>
      </w:r>
    </w:p>
    <w:p w14:paraId="5B1B1BE6" w14:textId="77777777" w:rsidR="00D93BCF" w:rsidRPr="00780A99" w:rsidRDefault="00D93BCF" w:rsidP="00D93BCF">
      <w:pPr>
        <w:pStyle w:val="Default"/>
        <w:rPr>
          <w:sz w:val="22"/>
          <w:szCs w:val="22"/>
        </w:rPr>
      </w:pPr>
    </w:p>
    <w:p w14:paraId="3A0A33E0" w14:textId="77777777" w:rsidR="00D93BCF" w:rsidRPr="00780A99" w:rsidRDefault="00D93BCF" w:rsidP="00D93BCF">
      <w:pPr>
        <w:pStyle w:val="Default"/>
        <w:rPr>
          <w:rFonts w:ascii="Arial" w:hAnsi="Arial" w:cs="Arial"/>
          <w:sz w:val="22"/>
          <w:szCs w:val="22"/>
        </w:rPr>
      </w:pPr>
      <w:r w:rsidRPr="00780A99">
        <w:rPr>
          <w:rFonts w:ascii="Arial" w:hAnsi="Arial" w:cs="Arial"/>
          <w:b/>
          <w:sz w:val="22"/>
          <w:szCs w:val="22"/>
        </w:rPr>
        <w:t>Payment Card Industry (PCI) Compliance</w:t>
      </w:r>
      <w:r w:rsidRPr="00780A99">
        <w:rPr>
          <w:rFonts w:ascii="Arial" w:hAnsi="Arial" w:cs="Arial"/>
          <w:sz w:val="22"/>
          <w:szCs w:val="22"/>
        </w:rPr>
        <w:t xml:space="preserve"> </w:t>
      </w:r>
      <w:r w:rsidRPr="00780A99">
        <w:rPr>
          <w:rFonts w:ascii="Arial" w:hAnsi="Arial" w:cs="Arial"/>
          <w:sz w:val="22"/>
          <w:szCs w:val="22"/>
        </w:rPr>
        <w:br/>
        <w:t xml:space="preserve">MSI will be responsible for Payment Card Industry (PCI) compliance on behalf of the State, though any future change in Federal PCI standards may require additional support from the State entity and awarded vendor.  MSI’s Transaction Processing Engine (TPE) is certified compliant with the PCI Data Security Standard (DSS) and compliant with the Payment Application Best Practices (PABP) standards. It is also listed as a Validated Payment Application by VISA. TPE is hosted at NIC’s Central Data Center in Ashburn Virginia and complemented with a backup facility in Allen, Texas. NIC is certified by PCI-DSS as a Level 1 Service Provider for this environment. </w:t>
      </w:r>
      <w:r w:rsidRPr="00780A99">
        <w:rPr>
          <w:rFonts w:ascii="Arial" w:hAnsi="Arial" w:cs="Arial"/>
          <w:sz w:val="22"/>
          <w:szCs w:val="22"/>
        </w:rPr>
        <w:br/>
      </w:r>
      <w:r w:rsidRPr="00780A99">
        <w:rPr>
          <w:rFonts w:ascii="Arial" w:hAnsi="Arial" w:cs="Arial"/>
          <w:sz w:val="22"/>
          <w:szCs w:val="22"/>
        </w:rPr>
        <w:br/>
        <w:t xml:space="preserve">See Technical Requirements for notes to the PCI compliance responsibility of the awarded vendor. </w:t>
      </w:r>
    </w:p>
    <w:p w14:paraId="3474F2BD" w14:textId="77777777" w:rsidR="00D93BCF" w:rsidRPr="00780A99" w:rsidRDefault="00D93BCF" w:rsidP="00D93BCF">
      <w:pPr>
        <w:pStyle w:val="Default"/>
        <w:rPr>
          <w:rFonts w:ascii="Arial" w:hAnsi="Arial" w:cs="Arial"/>
          <w:sz w:val="22"/>
          <w:szCs w:val="22"/>
        </w:rPr>
      </w:pPr>
    </w:p>
    <w:p w14:paraId="059118C0" w14:textId="77777777" w:rsidR="00D93BCF" w:rsidRPr="00780A99" w:rsidRDefault="00D93BCF" w:rsidP="00D93BCF">
      <w:pPr>
        <w:pStyle w:val="Default"/>
        <w:rPr>
          <w:rFonts w:ascii="Arial" w:hAnsi="Arial" w:cs="Arial"/>
          <w:sz w:val="22"/>
          <w:szCs w:val="22"/>
        </w:rPr>
      </w:pPr>
      <w:r w:rsidRPr="00780A99">
        <w:rPr>
          <w:rFonts w:ascii="Arial" w:hAnsi="Arial" w:cs="Arial"/>
          <w:sz w:val="22"/>
          <w:szCs w:val="22"/>
        </w:rPr>
        <w:t xml:space="preserve">Awarded vendor is prohibited from breaking out payment processing fees associated with any transaction. This includes all pages of the application and/or any receipt generated. </w:t>
      </w:r>
      <w:r w:rsidRPr="00780A99">
        <w:rPr>
          <w:rFonts w:ascii="Arial" w:hAnsi="Arial" w:cs="Arial"/>
          <w:sz w:val="22"/>
          <w:szCs w:val="22"/>
        </w:rPr>
        <w:br/>
      </w:r>
      <w:r w:rsidRPr="00780A99">
        <w:rPr>
          <w:rFonts w:ascii="Arial" w:hAnsi="Arial" w:cs="Arial"/>
          <w:sz w:val="22"/>
          <w:szCs w:val="22"/>
        </w:rPr>
        <w:br/>
        <w:t xml:space="preserve">Acceptable fee break out can include a “subtotal” for services and a “Total ms.gov Price” or “ms.gov Order Total” which includes the eGov processing fee. See image below for example. </w:t>
      </w:r>
      <w:r w:rsidRPr="00780A99">
        <w:rPr>
          <w:rFonts w:ascii="Arial" w:hAnsi="Arial" w:cs="Arial"/>
          <w:sz w:val="22"/>
          <w:szCs w:val="22"/>
        </w:rPr>
        <w:br/>
      </w:r>
    </w:p>
    <w:p w14:paraId="2A6F3A4B" w14:textId="77777777" w:rsidR="00D93BCF" w:rsidRPr="00780A99" w:rsidRDefault="00D93BCF" w:rsidP="00D93BCF">
      <w:pPr>
        <w:pStyle w:val="Default"/>
        <w:jc w:val="center"/>
        <w:rPr>
          <w:sz w:val="22"/>
          <w:szCs w:val="22"/>
        </w:rPr>
      </w:pPr>
      <w:r w:rsidRPr="00780A99">
        <w:rPr>
          <w:noProof/>
          <w:sz w:val="22"/>
          <w:szCs w:val="22"/>
          <w:lang w:eastAsia="en-US"/>
        </w:rPr>
        <w:lastRenderedPageBreak/>
        <w:drawing>
          <wp:inline distT="0" distB="0" distL="0" distR="0" wp14:anchorId="5B125B73" wp14:editId="6A4B2A4F">
            <wp:extent cx="6400800" cy="165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19 at 9.51.40 AM.png"/>
                    <pic:cNvPicPr/>
                  </pic:nvPicPr>
                  <pic:blipFill>
                    <a:blip r:embed="rId40">
                      <a:extLst>
                        <a:ext uri="{28A0092B-C50C-407E-A947-70E740481C1C}">
                          <a14:useLocalDpi xmlns:a14="http://schemas.microsoft.com/office/drawing/2010/main" val="0"/>
                        </a:ext>
                      </a:extLst>
                    </a:blip>
                    <a:stretch>
                      <a:fillRect/>
                    </a:stretch>
                  </pic:blipFill>
                  <pic:spPr>
                    <a:xfrm>
                      <a:off x="0" y="0"/>
                      <a:ext cx="6400800" cy="1654175"/>
                    </a:xfrm>
                    <a:prstGeom prst="rect">
                      <a:avLst/>
                    </a:prstGeom>
                  </pic:spPr>
                </pic:pic>
              </a:graphicData>
            </a:graphic>
          </wp:inline>
        </w:drawing>
      </w:r>
    </w:p>
    <w:p w14:paraId="081C2019" w14:textId="77777777" w:rsidR="00D93BCF" w:rsidRPr="00780A99" w:rsidRDefault="00D93BCF" w:rsidP="00D93BCF">
      <w:pPr>
        <w:pStyle w:val="Default"/>
        <w:rPr>
          <w:sz w:val="22"/>
          <w:szCs w:val="22"/>
        </w:rPr>
      </w:pPr>
    </w:p>
    <w:p w14:paraId="3A08122F" w14:textId="77777777" w:rsidR="00D93BCF" w:rsidRPr="00780A99" w:rsidRDefault="00D93BCF" w:rsidP="00D93BCF">
      <w:pPr>
        <w:pStyle w:val="Default"/>
        <w:rPr>
          <w:rFonts w:ascii="Arial" w:hAnsi="Arial" w:cs="Arial"/>
          <w:sz w:val="22"/>
          <w:szCs w:val="22"/>
        </w:rPr>
      </w:pPr>
      <w:r w:rsidRPr="00780A99">
        <w:rPr>
          <w:rFonts w:ascii="Arial" w:hAnsi="Arial" w:cs="Arial"/>
          <w:b/>
          <w:sz w:val="22"/>
          <w:szCs w:val="22"/>
        </w:rPr>
        <w:t>Merchant of Record</w:t>
      </w:r>
      <w:r w:rsidRPr="00780A99">
        <w:rPr>
          <w:rFonts w:ascii="Arial" w:hAnsi="Arial" w:cs="Arial"/>
          <w:sz w:val="22"/>
          <w:szCs w:val="22"/>
        </w:rPr>
        <w:br/>
        <w:t>In order to act as the single point of contact between the State, MSI, the payment processor, the merchant acquiring bank, and end users of ms.gov services, MSI will be the “Merchant of Record” for this RFP. As the single point of contact for the State, MSI will work directly with the processor and the acquiring bank to request and set up merchant accounts and will be responsible for all areas of merchant services, including merchant fees.</w:t>
      </w:r>
    </w:p>
    <w:p w14:paraId="62AE6A44" w14:textId="77777777" w:rsidR="00D93BCF" w:rsidRPr="00780A99" w:rsidRDefault="00D93BCF" w:rsidP="00D93BCF">
      <w:pPr>
        <w:pStyle w:val="Default"/>
        <w:rPr>
          <w:rFonts w:ascii="Arial" w:hAnsi="Arial" w:cs="Arial"/>
          <w:sz w:val="22"/>
          <w:szCs w:val="22"/>
        </w:rPr>
      </w:pPr>
    </w:p>
    <w:p w14:paraId="582FA0B2" w14:textId="77777777" w:rsidR="00D93BCF" w:rsidRPr="00780A99" w:rsidRDefault="00D93BCF" w:rsidP="00D93BCF">
      <w:pPr>
        <w:pStyle w:val="Default"/>
        <w:rPr>
          <w:rFonts w:ascii="Arial" w:hAnsi="Arial" w:cs="Arial"/>
          <w:sz w:val="22"/>
          <w:szCs w:val="22"/>
        </w:rPr>
      </w:pPr>
      <w:r w:rsidRPr="00780A99">
        <w:rPr>
          <w:rFonts w:ascii="Arial" w:hAnsi="Arial" w:cs="Arial"/>
          <w:b/>
          <w:sz w:val="22"/>
          <w:szCs w:val="22"/>
        </w:rPr>
        <w:t>eGov Transaction Fees</w:t>
      </w:r>
      <w:r w:rsidRPr="00780A99">
        <w:rPr>
          <w:rFonts w:ascii="Arial" w:hAnsi="Arial" w:cs="Arial"/>
          <w:sz w:val="22"/>
          <w:szCs w:val="22"/>
        </w:rPr>
        <w:br/>
        <w:t xml:space="preserve">There will be standard payment processing fees associated with each payment transaction. Customer approval (electronic or otherwise) of MSI payment processing fees will be obtained prior to initiating payment.  </w:t>
      </w:r>
    </w:p>
    <w:p w14:paraId="3634BF61" w14:textId="77777777" w:rsidR="00D93BCF" w:rsidRPr="00780A99" w:rsidRDefault="00D93BCF" w:rsidP="00D93BCF">
      <w:pPr>
        <w:pStyle w:val="Default"/>
        <w:rPr>
          <w:rFonts w:ascii="Arial" w:hAnsi="Arial" w:cs="Arial"/>
          <w:sz w:val="22"/>
          <w:szCs w:val="22"/>
        </w:rPr>
      </w:pPr>
    </w:p>
    <w:p w14:paraId="209EC99A" w14:textId="77777777" w:rsidR="00D93BCF" w:rsidRPr="00780A99" w:rsidRDefault="00D93BCF" w:rsidP="00D93BCF">
      <w:pPr>
        <w:pStyle w:val="Default"/>
        <w:rPr>
          <w:rFonts w:ascii="Arial" w:hAnsi="Arial" w:cs="Arial"/>
          <w:sz w:val="22"/>
          <w:szCs w:val="22"/>
        </w:rPr>
      </w:pPr>
      <w:r w:rsidRPr="00780A99">
        <w:rPr>
          <w:rFonts w:ascii="Arial" w:hAnsi="Arial" w:cs="Arial"/>
          <w:b/>
          <w:sz w:val="22"/>
          <w:szCs w:val="22"/>
        </w:rPr>
        <w:t>MAGIC</w:t>
      </w:r>
      <w:r w:rsidRPr="00780A99">
        <w:rPr>
          <w:rFonts w:ascii="Arial" w:hAnsi="Arial" w:cs="Arial"/>
          <w:sz w:val="22"/>
          <w:szCs w:val="22"/>
        </w:rPr>
        <w:br/>
        <w:t xml:space="preserve">MSI’s payment solution processes is integrated with MAGIC, Mississippi’s statewide accounting and procurement system of record. At least three (3) weeks prior to service launch Customer will be required to work with DFA to set up corresponding charges table entries. After appropriate edits are made to the charges table, Customer and awarded vendor will be required to work with MSI to insure adequate testing, confirming the application transactions are posting to MAGIC. A live transaction test must be completed no later than three (3) business days before service launch.    </w:t>
      </w:r>
    </w:p>
    <w:p w14:paraId="06A8D8DD" w14:textId="77777777" w:rsidR="00D93BCF" w:rsidRPr="00780A99" w:rsidRDefault="00D93BCF" w:rsidP="00D93BCF">
      <w:pPr>
        <w:pStyle w:val="Default"/>
        <w:rPr>
          <w:rFonts w:ascii="Arial" w:hAnsi="Arial" w:cs="Arial"/>
          <w:sz w:val="22"/>
          <w:szCs w:val="22"/>
        </w:rPr>
      </w:pPr>
    </w:p>
    <w:p w14:paraId="16944771" w14:textId="77777777" w:rsidR="00D93BCF" w:rsidRPr="00780A99" w:rsidRDefault="00D93BCF" w:rsidP="00D93BCF">
      <w:pPr>
        <w:pStyle w:val="Default"/>
        <w:rPr>
          <w:rFonts w:ascii="Arial" w:hAnsi="Arial" w:cs="Arial"/>
          <w:b/>
          <w:sz w:val="22"/>
          <w:szCs w:val="22"/>
        </w:rPr>
      </w:pPr>
      <w:r w:rsidRPr="00780A99">
        <w:rPr>
          <w:rFonts w:ascii="Arial" w:hAnsi="Arial" w:cs="Arial"/>
          <w:b/>
          <w:sz w:val="22"/>
          <w:szCs w:val="22"/>
        </w:rPr>
        <w:t>Refunds, Chargebacks, Returns</w:t>
      </w:r>
    </w:p>
    <w:p w14:paraId="51857385" w14:textId="77777777" w:rsidR="00D93BCF" w:rsidRPr="00780A99" w:rsidRDefault="00D93BCF" w:rsidP="00D93BCF">
      <w:pPr>
        <w:rPr>
          <w:rFonts w:ascii="Arial" w:hAnsi="Arial" w:cs="Arial"/>
          <w:sz w:val="22"/>
          <w:szCs w:val="22"/>
        </w:rPr>
      </w:pPr>
      <w:r w:rsidRPr="00780A99">
        <w:rPr>
          <w:rFonts w:ascii="Arial" w:hAnsi="Arial" w:cs="Arial"/>
          <w:sz w:val="22"/>
          <w:szCs w:val="22"/>
        </w:rPr>
        <w:t xml:space="preserve">As the merchant of record and official payment processor, MSI will handle all refunds, chargeback representments and returned echecks. However, MSI is not responsible for covering any monies that must be netted from the agency’s account through refund, successful chargeback or returned echeck. Below are the processes for each. </w:t>
      </w:r>
    </w:p>
    <w:p w14:paraId="07AD9B5F" w14:textId="77777777" w:rsidR="00D93BCF" w:rsidRPr="00780A99" w:rsidRDefault="00D93BCF" w:rsidP="00D93BCF">
      <w:pPr>
        <w:rPr>
          <w:rFonts w:ascii="Arial" w:hAnsi="Arial" w:cs="Arial"/>
          <w:sz w:val="22"/>
          <w:szCs w:val="22"/>
        </w:rPr>
      </w:pPr>
      <w:r w:rsidRPr="00780A99">
        <w:rPr>
          <w:rFonts w:ascii="Arial" w:hAnsi="Arial" w:cs="Arial"/>
          <w:sz w:val="22"/>
          <w:szCs w:val="22"/>
          <w:u w:val="single"/>
        </w:rPr>
        <w:t>Refunds</w:t>
      </w:r>
      <w:r w:rsidRPr="00780A99">
        <w:rPr>
          <w:rFonts w:ascii="Arial" w:hAnsi="Arial" w:cs="Arial"/>
          <w:sz w:val="22"/>
          <w:szCs w:val="22"/>
        </w:rPr>
        <w:br/>
        <w:t xml:space="preserve">The refund process is initiated by either customer or agency request.  </w:t>
      </w:r>
    </w:p>
    <w:p w14:paraId="2A2E4E20" w14:textId="77777777" w:rsidR="00D93BCF" w:rsidRPr="00780A99" w:rsidRDefault="00D93BCF" w:rsidP="0061377C">
      <w:pPr>
        <w:pStyle w:val="ListParagraph"/>
        <w:numPr>
          <w:ilvl w:val="0"/>
          <w:numId w:val="16"/>
        </w:numPr>
        <w:spacing w:after="200"/>
        <w:rPr>
          <w:rFonts w:ascii="Arial" w:hAnsi="Arial" w:cs="Arial"/>
        </w:rPr>
      </w:pPr>
      <w:r w:rsidRPr="00780A99">
        <w:rPr>
          <w:rFonts w:ascii="Arial" w:hAnsi="Arial" w:cs="Arial"/>
        </w:rPr>
        <w:t>Upon customer request MSI will contact the agency financial contact (established at project initiation) for approval prior to refund</w:t>
      </w:r>
    </w:p>
    <w:p w14:paraId="4D77E775" w14:textId="77777777" w:rsidR="00D93BCF" w:rsidRPr="00780A99" w:rsidRDefault="00D93BCF" w:rsidP="0061377C">
      <w:pPr>
        <w:pStyle w:val="ListParagraph"/>
        <w:numPr>
          <w:ilvl w:val="0"/>
          <w:numId w:val="16"/>
        </w:numPr>
        <w:spacing w:after="200"/>
        <w:rPr>
          <w:rFonts w:ascii="Arial" w:hAnsi="Arial" w:cs="Arial"/>
        </w:rPr>
      </w:pPr>
      <w:r w:rsidRPr="00780A99">
        <w:rPr>
          <w:rFonts w:ascii="Arial" w:hAnsi="Arial" w:cs="Arial"/>
        </w:rPr>
        <w:t xml:space="preserve">Agency contacts have access to and are encouraged to use the MSI refund tool for their refund requests.  This ensures adequate logs of all requested refunds </w:t>
      </w:r>
    </w:p>
    <w:p w14:paraId="0BF75870" w14:textId="77777777" w:rsidR="00D93BCF" w:rsidRPr="00780A99" w:rsidRDefault="00D93BCF" w:rsidP="0061377C">
      <w:pPr>
        <w:pStyle w:val="ListParagraph"/>
        <w:numPr>
          <w:ilvl w:val="0"/>
          <w:numId w:val="16"/>
        </w:numPr>
        <w:spacing w:after="200"/>
        <w:rPr>
          <w:rFonts w:ascii="Arial" w:hAnsi="Arial" w:cs="Arial"/>
        </w:rPr>
      </w:pPr>
      <w:r w:rsidRPr="00780A99">
        <w:rPr>
          <w:rFonts w:ascii="Arial" w:hAnsi="Arial" w:cs="Arial"/>
        </w:rPr>
        <w:t xml:space="preserve">After agency request or approval MSI refunds the charge in TPE and notifies the requestor upon completion </w:t>
      </w:r>
    </w:p>
    <w:p w14:paraId="2B086781" w14:textId="77777777" w:rsidR="00D93BCF" w:rsidRPr="00780A99" w:rsidRDefault="00D93BCF" w:rsidP="0061377C">
      <w:pPr>
        <w:pStyle w:val="ListParagraph"/>
        <w:numPr>
          <w:ilvl w:val="0"/>
          <w:numId w:val="17"/>
        </w:numPr>
        <w:spacing w:after="200"/>
        <w:ind w:left="720"/>
        <w:rPr>
          <w:rFonts w:ascii="Arial" w:hAnsi="Arial" w:cs="Arial"/>
        </w:rPr>
      </w:pPr>
      <w:r w:rsidRPr="00780A99">
        <w:rPr>
          <w:rFonts w:ascii="Arial" w:hAnsi="Arial" w:cs="Arial"/>
        </w:rPr>
        <w:t>Through MAGIC refunds are netted from the next day’s deposits or the next day funds are available to net from</w:t>
      </w:r>
    </w:p>
    <w:p w14:paraId="7C7776C8" w14:textId="77777777" w:rsidR="00D93BCF" w:rsidRPr="00780A99" w:rsidRDefault="00D93BCF" w:rsidP="00D93BCF">
      <w:pPr>
        <w:pStyle w:val="Default"/>
        <w:rPr>
          <w:rFonts w:ascii="Arial" w:hAnsi="Arial" w:cs="Arial"/>
          <w:sz w:val="22"/>
          <w:szCs w:val="22"/>
          <w:u w:val="single"/>
        </w:rPr>
      </w:pPr>
      <w:r w:rsidRPr="00780A99">
        <w:rPr>
          <w:rFonts w:ascii="Arial" w:hAnsi="Arial" w:cs="Arial"/>
          <w:sz w:val="22"/>
          <w:szCs w:val="22"/>
          <w:u w:val="single"/>
        </w:rPr>
        <w:t>Chargebacks</w:t>
      </w:r>
    </w:p>
    <w:p w14:paraId="0E14DC55" w14:textId="77777777" w:rsidR="00D93BCF" w:rsidRPr="00780A99" w:rsidRDefault="00D93BCF" w:rsidP="00D93BCF">
      <w:pPr>
        <w:rPr>
          <w:rFonts w:ascii="Arial" w:hAnsi="Arial" w:cs="Arial"/>
          <w:sz w:val="22"/>
          <w:szCs w:val="22"/>
        </w:rPr>
      </w:pPr>
      <w:r w:rsidRPr="00780A99">
        <w:rPr>
          <w:rFonts w:ascii="Arial" w:hAnsi="Arial" w:cs="Arial"/>
          <w:sz w:val="22"/>
          <w:szCs w:val="22"/>
        </w:rPr>
        <w:lastRenderedPageBreak/>
        <w:t xml:space="preserve">A chargeback is a monetary dispute that is initiated by the Issuing Bank (issuer disputes the posting of the transaction) or the cardholder (a cardholder disputes a transaction).  </w:t>
      </w:r>
    </w:p>
    <w:p w14:paraId="51555E27" w14:textId="77777777" w:rsidR="00D93BCF" w:rsidRPr="00780A99" w:rsidRDefault="00D93BCF" w:rsidP="0061377C">
      <w:pPr>
        <w:pStyle w:val="ListParagraph"/>
        <w:numPr>
          <w:ilvl w:val="0"/>
          <w:numId w:val="18"/>
        </w:numPr>
        <w:spacing w:after="200"/>
        <w:ind w:left="720"/>
        <w:rPr>
          <w:rFonts w:ascii="Arial" w:hAnsi="Arial" w:cs="Arial"/>
        </w:rPr>
      </w:pPr>
      <w:r w:rsidRPr="00780A99">
        <w:rPr>
          <w:rFonts w:ascii="Arial" w:hAnsi="Arial" w:cs="Arial"/>
        </w:rPr>
        <w:t xml:space="preserve">Customer or card issuing bank sees what appears to be a suspicious charge on their statement.  </w:t>
      </w:r>
    </w:p>
    <w:p w14:paraId="5309DDA0" w14:textId="77777777" w:rsidR="00D93BCF" w:rsidRPr="00780A99" w:rsidRDefault="00D93BCF" w:rsidP="0061377C">
      <w:pPr>
        <w:pStyle w:val="ListParagraph"/>
        <w:numPr>
          <w:ilvl w:val="0"/>
          <w:numId w:val="18"/>
        </w:numPr>
        <w:spacing w:after="200"/>
        <w:ind w:left="720"/>
        <w:rPr>
          <w:rFonts w:ascii="Arial" w:hAnsi="Arial" w:cs="Arial"/>
        </w:rPr>
      </w:pPr>
      <w:r w:rsidRPr="00780A99">
        <w:rPr>
          <w:rFonts w:ascii="Arial" w:hAnsi="Arial" w:cs="Arial"/>
        </w:rPr>
        <w:t xml:space="preserve">The customer contacts the card company to dispute the charge and initiate the chargeback process. Note: depending on the company policies of the company that issued the card the company may initiate the chargeback without customer notification. </w:t>
      </w:r>
    </w:p>
    <w:p w14:paraId="3C882CB3" w14:textId="77777777" w:rsidR="00D93BCF" w:rsidRPr="00780A99" w:rsidRDefault="00D93BCF" w:rsidP="0061377C">
      <w:pPr>
        <w:pStyle w:val="ListParagraph"/>
        <w:numPr>
          <w:ilvl w:val="0"/>
          <w:numId w:val="18"/>
        </w:numPr>
        <w:spacing w:after="200"/>
        <w:ind w:left="720"/>
        <w:rPr>
          <w:rFonts w:ascii="Arial" w:hAnsi="Arial" w:cs="Arial"/>
        </w:rPr>
      </w:pPr>
      <w:r w:rsidRPr="00780A99">
        <w:rPr>
          <w:rFonts w:ascii="Arial" w:hAnsi="Arial" w:cs="Arial"/>
        </w:rPr>
        <w:t xml:space="preserve">MSI receives a chargeback email from our processor notifying us of the transaction details of the chargeback.  Once this notification is received the processor pulls the funds back from the Portal account until supporting documentation is obtained. (MSI’s processor has 45 days from the time the customer disputes the charge to contact MSI for additional information.) </w:t>
      </w:r>
    </w:p>
    <w:p w14:paraId="4F27A63E" w14:textId="77777777" w:rsidR="00D93BCF" w:rsidRPr="00780A99" w:rsidRDefault="00D93BCF" w:rsidP="0061377C">
      <w:pPr>
        <w:pStyle w:val="ListParagraph"/>
        <w:numPr>
          <w:ilvl w:val="0"/>
          <w:numId w:val="18"/>
        </w:numPr>
        <w:spacing w:after="200"/>
        <w:ind w:left="720"/>
        <w:rPr>
          <w:rFonts w:ascii="Arial" w:hAnsi="Arial" w:cs="Arial"/>
        </w:rPr>
      </w:pPr>
      <w:r w:rsidRPr="00780A99">
        <w:rPr>
          <w:rFonts w:ascii="Arial" w:hAnsi="Arial" w:cs="Arial"/>
        </w:rPr>
        <w:t xml:space="preserve">Based on the information provided in the chargeback notification MSI researches the charge internally first. </w:t>
      </w:r>
    </w:p>
    <w:p w14:paraId="3F2182D9" w14:textId="77777777" w:rsidR="00D93BCF" w:rsidRPr="00780A99" w:rsidRDefault="00D93BCF" w:rsidP="0061377C">
      <w:pPr>
        <w:pStyle w:val="ListParagraph"/>
        <w:numPr>
          <w:ilvl w:val="0"/>
          <w:numId w:val="19"/>
        </w:numPr>
        <w:spacing w:after="200"/>
        <w:ind w:left="1530"/>
        <w:rPr>
          <w:rFonts w:ascii="Arial" w:hAnsi="Arial" w:cs="Arial"/>
        </w:rPr>
      </w:pPr>
      <w:r w:rsidRPr="00780A99">
        <w:rPr>
          <w:rFonts w:ascii="Arial" w:hAnsi="Arial" w:cs="Arial"/>
        </w:rPr>
        <w:t xml:space="preserve">If the disputed charge is a true duplicate charge (same customer information, amount, etc), MSI allows the chargeback to process and it is automatically marked in TPE. </w:t>
      </w:r>
    </w:p>
    <w:p w14:paraId="03A58F02" w14:textId="77777777" w:rsidR="00D93BCF" w:rsidRPr="00780A99" w:rsidRDefault="00D93BCF" w:rsidP="0061377C">
      <w:pPr>
        <w:pStyle w:val="ListParagraph"/>
        <w:numPr>
          <w:ilvl w:val="1"/>
          <w:numId w:val="18"/>
        </w:numPr>
        <w:spacing w:after="200"/>
        <w:rPr>
          <w:rFonts w:ascii="Arial" w:hAnsi="Arial" w:cs="Arial"/>
        </w:rPr>
      </w:pPr>
      <w:r w:rsidRPr="00780A99">
        <w:rPr>
          <w:rFonts w:ascii="Arial" w:hAnsi="Arial" w:cs="Arial"/>
        </w:rPr>
        <w:t>For all non-duplicate charges MSI contacts the appropriate agency contact(s) (financial contact gathered at project initiation) by email to explain the chargeback, provide charge details and verify with the contact that it is a valid charge.  If needed MSI requests the agency provides any additional information they may have to support the claim.</w:t>
      </w:r>
    </w:p>
    <w:p w14:paraId="016C00D8" w14:textId="77777777" w:rsidR="00D93BCF" w:rsidRPr="00780A99" w:rsidRDefault="00D93BCF" w:rsidP="0061377C">
      <w:pPr>
        <w:pStyle w:val="ListParagraph"/>
        <w:numPr>
          <w:ilvl w:val="0"/>
          <w:numId w:val="18"/>
        </w:numPr>
        <w:spacing w:after="200"/>
        <w:ind w:left="720"/>
        <w:rPr>
          <w:rFonts w:ascii="Arial" w:hAnsi="Arial" w:cs="Arial"/>
        </w:rPr>
      </w:pPr>
      <w:r w:rsidRPr="00780A99">
        <w:rPr>
          <w:rFonts w:ascii="Arial" w:hAnsi="Arial" w:cs="Arial"/>
        </w:rPr>
        <w:t xml:space="preserve">If the charge is valid MSI will provide the sales drafts (chargeback receipt, TPE receipts, agency support etc) back to the processor to support the charge validity. </w:t>
      </w:r>
    </w:p>
    <w:p w14:paraId="27690C07" w14:textId="77777777" w:rsidR="00D93BCF" w:rsidRPr="00780A99" w:rsidRDefault="00D93BCF" w:rsidP="0061377C">
      <w:pPr>
        <w:pStyle w:val="ListParagraph"/>
        <w:numPr>
          <w:ilvl w:val="0"/>
          <w:numId w:val="18"/>
        </w:numPr>
        <w:spacing w:after="200"/>
        <w:ind w:left="720"/>
        <w:rPr>
          <w:rFonts w:ascii="Arial" w:hAnsi="Arial" w:cs="Arial"/>
        </w:rPr>
      </w:pPr>
      <w:r w:rsidRPr="00780A99">
        <w:rPr>
          <w:rFonts w:ascii="Arial" w:hAnsi="Arial" w:cs="Arial"/>
        </w:rPr>
        <w:t xml:space="preserve">After the charge is verified through receipt of sales drafts the chargeback will be reversed and the funds will be deposited back to the agency. </w:t>
      </w:r>
    </w:p>
    <w:p w14:paraId="03FF2CCF" w14:textId="77777777" w:rsidR="00D93BCF" w:rsidRPr="00780A99" w:rsidRDefault="00D93BCF" w:rsidP="00D93BCF">
      <w:pPr>
        <w:rPr>
          <w:rFonts w:ascii="Arial" w:hAnsi="Arial" w:cs="Arial"/>
          <w:sz w:val="22"/>
          <w:szCs w:val="22"/>
        </w:rPr>
      </w:pPr>
      <w:r w:rsidRPr="00780A99">
        <w:rPr>
          <w:rFonts w:ascii="Arial" w:hAnsi="Arial" w:cs="Arial"/>
          <w:sz w:val="22"/>
          <w:szCs w:val="22"/>
        </w:rPr>
        <w:t xml:space="preserve">Note: The chargeback process could take up to 60 days to resolve. </w:t>
      </w:r>
    </w:p>
    <w:p w14:paraId="6F66AC05" w14:textId="77777777" w:rsidR="00D93BCF" w:rsidRPr="00780A99" w:rsidRDefault="00D93BCF" w:rsidP="00D93BCF">
      <w:pPr>
        <w:pStyle w:val="Default"/>
        <w:rPr>
          <w:rFonts w:ascii="Arial" w:hAnsi="Arial" w:cs="Arial"/>
          <w:sz w:val="22"/>
          <w:szCs w:val="22"/>
          <w:u w:val="single"/>
        </w:rPr>
      </w:pPr>
      <w:r w:rsidRPr="00780A99">
        <w:rPr>
          <w:rFonts w:ascii="Arial" w:hAnsi="Arial" w:cs="Arial"/>
          <w:sz w:val="22"/>
          <w:szCs w:val="22"/>
          <w:u w:val="single"/>
        </w:rPr>
        <w:t>Returns</w:t>
      </w:r>
    </w:p>
    <w:p w14:paraId="50E22175" w14:textId="77777777" w:rsidR="00D93BCF" w:rsidRPr="00780A99" w:rsidRDefault="00D93BCF" w:rsidP="00D93BCF">
      <w:pPr>
        <w:rPr>
          <w:rFonts w:ascii="Arial" w:hAnsi="Arial" w:cs="Arial"/>
          <w:sz w:val="22"/>
          <w:szCs w:val="22"/>
        </w:rPr>
      </w:pPr>
      <w:r w:rsidRPr="00780A99">
        <w:rPr>
          <w:rFonts w:ascii="Arial" w:hAnsi="Arial" w:cs="Arial"/>
          <w:sz w:val="22"/>
          <w:szCs w:val="22"/>
        </w:rPr>
        <w:t>Electronic checks (echeck)/ACH payments (where a user enters an account and routing number) may be returned unpaid for any reason, including non-sufficient funds (NSF), stop payment, online data entry error or closed account.  A full list of return codes is listed below:</w:t>
      </w:r>
    </w:p>
    <w:p w14:paraId="0E2A5B73"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R01 - Insufficient Funds - Available balance is not sufficient to cover the dollar value of the debit entry.</w:t>
      </w:r>
    </w:p>
    <w:p w14:paraId="0A030B5F"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R02 - Account Closed - Previously active account has been closed by customer or RDFI.</w:t>
      </w:r>
    </w:p>
    <w:p w14:paraId="31D7DEA7"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R03 - No Account/Unable to Locate Account - Account number structure is valid and passes editing process, but does not correspond to individual or is not an open account.</w:t>
      </w:r>
    </w:p>
    <w:p w14:paraId="41858DC6"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R04 - Invalid Account Number - Account number structure not valid; entry may fail check digit validation or may contain an incorrect number of digits.</w:t>
      </w:r>
    </w:p>
    <w:p w14:paraId="3B9CCE5B"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R05 - Improper Debit to Consumer Account - A CCD, CTX, or CBR debit entry was transmitted to a Consumer Account of the Receiver and was not authorized by the Receiver.</w:t>
      </w:r>
    </w:p>
    <w:p w14:paraId="09A54258"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R06 - Returned per ODFI's Request - ODFI has requested RDFI to return the ACH entry (optional to RDFI – ODFI indemnifies RDFI).</w:t>
      </w:r>
    </w:p>
    <w:p w14:paraId="23EECFCF"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R07 - Authorization Revoked by Customer - Consumer, who previously authorized ACH payment, has revoked authorization from Originator (must be returned no later than 60 days from settlement date and customer must sign affidavit).</w:t>
      </w:r>
    </w:p>
    <w:p w14:paraId="1BA707A0"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 xml:space="preserve">R08 - Payment Stopped - Receiver of a recurring debit transaction has stopped payment to a specific ACH debit. RDFI should verify the Receiver's intent when a request for stop </w:t>
      </w:r>
      <w:r w:rsidRPr="00780A99">
        <w:rPr>
          <w:rFonts w:ascii="Arial" w:hAnsi="Arial" w:cs="Arial"/>
        </w:rPr>
        <w:lastRenderedPageBreak/>
        <w:t>payment is made to insure this is not intended to be a revocation of authorization.</w:t>
      </w:r>
    </w:p>
    <w:p w14:paraId="71DC4D47"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R09 - Uncollected Funds - Sufficient book or ledger balance exists to satisfy dollar value of the transaction, but the dollar value of transaction is in process of collection (i.e., uncollected checks) or cash reserve balance below dollar value of the debit entry.</w:t>
      </w:r>
    </w:p>
    <w:p w14:paraId="2B8D99ED"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R10 - Customer Advises Not Authorized - Consumer has advised RDFI that Originator of transaction is not authorized to debit account (must be returned no later than 60 days from settlement date of original entry and customer must sign affidavit).</w:t>
      </w:r>
    </w:p>
    <w:p w14:paraId="7256D9C2"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R11 - Check Truncation Entry Returned - used when returning a check safekeeping entry; RDFI should use appropriate field in addenda record to specify reason for return (i.e., "exceeds dollar limit," "stale date," etc.).</w:t>
      </w:r>
    </w:p>
    <w:p w14:paraId="08ECDE51" w14:textId="77777777" w:rsidR="00D93BCF" w:rsidRPr="00780A99" w:rsidRDefault="00D93BCF" w:rsidP="0061377C">
      <w:pPr>
        <w:pStyle w:val="ListParagraph"/>
        <w:widowControl w:val="0"/>
        <w:numPr>
          <w:ilvl w:val="0"/>
          <w:numId w:val="20"/>
        </w:numPr>
        <w:autoSpaceDE w:val="0"/>
        <w:autoSpaceDN w:val="0"/>
        <w:adjustRightInd w:val="0"/>
        <w:rPr>
          <w:rFonts w:ascii="Arial" w:hAnsi="Arial" w:cs="Arial"/>
        </w:rPr>
      </w:pPr>
      <w:r w:rsidRPr="00780A99">
        <w:rPr>
          <w:rFonts w:ascii="Arial" w:hAnsi="Arial" w:cs="Arial"/>
        </w:rPr>
        <w:t>R12 - Branch Sold to Another DFI - Financial institution receives entry destined for an account at a branch that has been sold to another financial institution.</w:t>
      </w:r>
    </w:p>
    <w:p w14:paraId="02198034" w14:textId="77777777" w:rsidR="00D93BCF" w:rsidRPr="00780A99" w:rsidRDefault="00D93BCF" w:rsidP="00E60415">
      <w:pPr>
        <w:rPr>
          <w:rFonts w:ascii="Arial" w:hAnsi="Arial" w:cs="Arial"/>
          <w:b/>
          <w:sz w:val="22"/>
          <w:szCs w:val="22"/>
        </w:rPr>
      </w:pPr>
      <w:r w:rsidRPr="00780A99">
        <w:rPr>
          <w:rFonts w:ascii="Arial" w:hAnsi="Arial" w:cs="Arial"/>
          <w:sz w:val="22"/>
          <w:szCs w:val="22"/>
        </w:rPr>
        <w:t>Typical Return Process</w:t>
      </w:r>
    </w:p>
    <w:p w14:paraId="2757F5E7" w14:textId="77777777" w:rsidR="00D93BCF" w:rsidRPr="00780A99" w:rsidRDefault="00D93BCF" w:rsidP="0061377C">
      <w:pPr>
        <w:pStyle w:val="ListParagraph"/>
        <w:numPr>
          <w:ilvl w:val="0"/>
          <w:numId w:val="22"/>
        </w:numPr>
        <w:spacing w:after="200"/>
        <w:rPr>
          <w:rFonts w:ascii="Arial" w:hAnsi="Arial" w:cs="Arial"/>
        </w:rPr>
      </w:pPr>
      <w:r w:rsidRPr="00780A99">
        <w:rPr>
          <w:rFonts w:ascii="Arial" w:hAnsi="Arial" w:cs="Arial"/>
        </w:rPr>
        <w:t>User enters echeck information in the ms.gov common checkout page</w:t>
      </w:r>
    </w:p>
    <w:p w14:paraId="74815C6F" w14:textId="77777777" w:rsidR="00D93BCF" w:rsidRPr="00780A99" w:rsidRDefault="00D93BCF" w:rsidP="0061377C">
      <w:pPr>
        <w:pStyle w:val="ListParagraph"/>
        <w:numPr>
          <w:ilvl w:val="0"/>
          <w:numId w:val="22"/>
        </w:numPr>
        <w:spacing w:after="200"/>
        <w:rPr>
          <w:rFonts w:ascii="Arial" w:hAnsi="Arial" w:cs="Arial"/>
        </w:rPr>
      </w:pPr>
      <w:r w:rsidRPr="00780A99">
        <w:rPr>
          <w:rFonts w:ascii="Arial" w:hAnsi="Arial" w:cs="Arial"/>
        </w:rPr>
        <w:t>TPE captures the information and sends to payment service provider</w:t>
      </w:r>
    </w:p>
    <w:p w14:paraId="21C4040A" w14:textId="77777777" w:rsidR="00D93BCF" w:rsidRPr="00780A99" w:rsidRDefault="00D93BCF" w:rsidP="0061377C">
      <w:pPr>
        <w:pStyle w:val="ListParagraph"/>
        <w:numPr>
          <w:ilvl w:val="0"/>
          <w:numId w:val="22"/>
        </w:numPr>
        <w:spacing w:after="200"/>
        <w:rPr>
          <w:rFonts w:ascii="Arial" w:hAnsi="Arial" w:cs="Arial"/>
        </w:rPr>
      </w:pPr>
      <w:r w:rsidRPr="00780A99">
        <w:rPr>
          <w:rFonts w:ascii="Arial" w:hAnsi="Arial" w:cs="Arial"/>
        </w:rPr>
        <w:t>The service provider submits a request to the payer’s bank to retrieve the funds</w:t>
      </w:r>
    </w:p>
    <w:p w14:paraId="77DBB4E4" w14:textId="77777777" w:rsidR="00D93BCF" w:rsidRPr="00780A99" w:rsidRDefault="00D93BCF" w:rsidP="0061377C">
      <w:pPr>
        <w:pStyle w:val="ListParagraph"/>
        <w:numPr>
          <w:ilvl w:val="0"/>
          <w:numId w:val="22"/>
        </w:numPr>
        <w:spacing w:after="200"/>
        <w:rPr>
          <w:rFonts w:ascii="Arial" w:hAnsi="Arial" w:cs="Arial"/>
        </w:rPr>
      </w:pPr>
      <w:r w:rsidRPr="00780A99">
        <w:rPr>
          <w:rFonts w:ascii="Arial" w:hAnsi="Arial" w:cs="Arial"/>
        </w:rPr>
        <w:t>Payer’s bank reports back one of the aforementioned return codes to the services provider</w:t>
      </w:r>
    </w:p>
    <w:p w14:paraId="42B7970C" w14:textId="77777777" w:rsidR="00D93BCF" w:rsidRPr="00780A99" w:rsidRDefault="00D93BCF" w:rsidP="0061377C">
      <w:pPr>
        <w:pStyle w:val="ListParagraph"/>
        <w:numPr>
          <w:ilvl w:val="0"/>
          <w:numId w:val="22"/>
        </w:numPr>
        <w:spacing w:after="200"/>
        <w:rPr>
          <w:rFonts w:ascii="Arial" w:hAnsi="Arial" w:cs="Arial"/>
        </w:rPr>
      </w:pPr>
      <w:r w:rsidRPr="00780A99">
        <w:rPr>
          <w:rFonts w:ascii="Arial" w:hAnsi="Arial" w:cs="Arial"/>
        </w:rPr>
        <w:t>Service provider notifies MSI and the return is marked in TPE</w:t>
      </w:r>
    </w:p>
    <w:p w14:paraId="182A89E5" w14:textId="77777777" w:rsidR="00D93BCF" w:rsidRPr="00780A99" w:rsidRDefault="00D93BCF" w:rsidP="0061377C">
      <w:pPr>
        <w:pStyle w:val="ListParagraph"/>
        <w:numPr>
          <w:ilvl w:val="0"/>
          <w:numId w:val="22"/>
        </w:numPr>
        <w:spacing w:after="200"/>
        <w:rPr>
          <w:rFonts w:ascii="Arial" w:hAnsi="Arial" w:cs="Arial"/>
        </w:rPr>
      </w:pPr>
      <w:r w:rsidRPr="00780A99">
        <w:rPr>
          <w:rFonts w:ascii="Arial" w:hAnsi="Arial" w:cs="Arial"/>
        </w:rPr>
        <w:t xml:space="preserve">Funds are electronically pulled from the agency through the daily MAGIC payment interface file. MSI contacts the individual(s) responsible for agency funds (contact obtained during project initiation) by email to let them know of the return and reason. </w:t>
      </w:r>
    </w:p>
    <w:p w14:paraId="32F8C433" w14:textId="77777777" w:rsidR="00D93BCF" w:rsidRPr="00780A99" w:rsidRDefault="00D93BCF" w:rsidP="00D93BCF">
      <w:pPr>
        <w:rPr>
          <w:rFonts w:ascii="Arial" w:hAnsi="Arial" w:cs="Arial"/>
          <w:sz w:val="22"/>
          <w:szCs w:val="22"/>
        </w:rPr>
      </w:pPr>
      <w:r w:rsidRPr="00780A99">
        <w:rPr>
          <w:rFonts w:ascii="Arial" w:hAnsi="Arial" w:cs="Arial"/>
          <w:b/>
          <w:sz w:val="22"/>
          <w:szCs w:val="22"/>
        </w:rPr>
        <w:t xml:space="preserve">Hardware Acquisition </w:t>
      </w:r>
      <w:r w:rsidRPr="00780A99">
        <w:rPr>
          <w:rFonts w:ascii="Arial" w:hAnsi="Arial" w:cs="Arial"/>
          <w:b/>
          <w:sz w:val="22"/>
          <w:szCs w:val="22"/>
        </w:rPr>
        <w:br/>
      </w:r>
      <w:r w:rsidRPr="00780A99">
        <w:rPr>
          <w:rFonts w:ascii="Arial" w:hAnsi="Arial" w:cs="Arial"/>
          <w:sz w:val="22"/>
          <w:szCs w:val="22"/>
        </w:rPr>
        <w:t>Due to the payment key injections required for hardware to be compatible with MSI’s PCI compliant payment processor, any hardware must be acquired through MSI’s existing eGov contract. This includes, but is not limited to, kiosks, pin pad/card swipe, mobile devices etc.</w:t>
      </w:r>
    </w:p>
    <w:p w14:paraId="0C8BA03D" w14:textId="77777777" w:rsidR="00D93BCF" w:rsidRPr="00780A99" w:rsidRDefault="00D93BCF" w:rsidP="00D93BCF">
      <w:pPr>
        <w:pStyle w:val="NoSpacing"/>
        <w:rPr>
          <w:rFonts w:ascii="Arial" w:hAnsi="Arial" w:cs="Arial"/>
          <w:sz w:val="22"/>
          <w:szCs w:val="22"/>
        </w:rPr>
      </w:pPr>
      <w:r w:rsidRPr="00780A99">
        <w:rPr>
          <w:rFonts w:ascii="Arial" w:hAnsi="Arial" w:cs="Arial"/>
          <w:b/>
          <w:sz w:val="22"/>
          <w:szCs w:val="22"/>
        </w:rPr>
        <w:t>Application Testing</w:t>
      </w:r>
      <w:r w:rsidRPr="00780A99">
        <w:rPr>
          <w:rFonts w:ascii="Arial" w:hAnsi="Arial" w:cs="Arial"/>
          <w:sz w:val="22"/>
          <w:szCs w:val="22"/>
        </w:rPr>
        <w:br/>
        <w:t>For all new services DFA requires a test transaction to be run for flow of funds and processor verification. After MSI receives confirmation the awarded vendor is satisfied with the integration, one test must be run through production TPE and confirmed by MSI.</w:t>
      </w:r>
    </w:p>
    <w:p w14:paraId="638EF11E" w14:textId="77777777" w:rsidR="00D93BCF" w:rsidRPr="00780A99" w:rsidRDefault="00D93BCF" w:rsidP="00D93BCF">
      <w:pPr>
        <w:pStyle w:val="NoSpacing"/>
        <w:rPr>
          <w:rFonts w:ascii="Arial" w:hAnsi="Arial" w:cs="Arial"/>
        </w:rPr>
      </w:pPr>
      <w:r w:rsidRPr="00780A99">
        <w:rPr>
          <w:rFonts w:ascii="Arial" w:hAnsi="Arial" w:cs="Arial"/>
          <w:sz w:val="22"/>
          <w:szCs w:val="22"/>
        </w:rPr>
        <w:br/>
        <w:t xml:space="preserve">It takes three (3) business days (excluding bank holidays) for the transaction to be confirmed by DFA.  Awarded vendor should take this time frame into consideration when anticipating launch date. </w:t>
      </w:r>
      <w:r w:rsidRPr="00780A99">
        <w:rPr>
          <w:rFonts w:ascii="Arial" w:hAnsi="Arial" w:cs="Arial"/>
          <w:sz w:val="22"/>
          <w:szCs w:val="22"/>
        </w:rPr>
        <w:br/>
      </w:r>
    </w:p>
    <w:p w14:paraId="7DC4E522" w14:textId="77777777" w:rsidR="00D93BCF" w:rsidRPr="00780A99" w:rsidRDefault="00D93BCF" w:rsidP="00D93BCF">
      <w:pPr>
        <w:rPr>
          <w:rFonts w:ascii="Arial" w:hAnsi="Arial" w:cs="Arial"/>
          <w:sz w:val="22"/>
          <w:szCs w:val="22"/>
        </w:rPr>
      </w:pPr>
      <w:r w:rsidRPr="00780A99">
        <w:rPr>
          <w:rFonts w:ascii="Arial" w:hAnsi="Arial" w:cs="Arial"/>
          <w:b/>
          <w:sz w:val="22"/>
          <w:szCs w:val="22"/>
        </w:rPr>
        <w:t>Reporting</w:t>
      </w:r>
      <w:r w:rsidRPr="00780A99">
        <w:rPr>
          <w:rFonts w:ascii="Arial" w:hAnsi="Arial" w:cs="Arial"/>
          <w:sz w:val="22"/>
          <w:szCs w:val="22"/>
        </w:rPr>
        <w:br/>
        <w:t xml:space="preserve">TPE provides reporting and auditing tools useful for streamlining and accommodating various back-office procedures. TPE’s financial reporting is comprehensive, flexible, and robust.  Within TPE all payment processing data is made available via a wide variety of reporting features.  Reports are real-time, up-to-the-minute transaction reporting ranging from summary reports to detail reports showing line-item level data.  A comprehensive users guide and applicable training will be provided to agency contacts during integration. </w:t>
      </w:r>
      <w:r w:rsidRPr="00780A99">
        <w:rPr>
          <w:rFonts w:ascii="Arial" w:hAnsi="Arial" w:cs="Arial"/>
        </w:rPr>
        <w:t xml:space="preserve"> </w:t>
      </w:r>
    </w:p>
    <w:p w14:paraId="0597565F" w14:textId="77777777" w:rsidR="00D93BCF" w:rsidRPr="00780A99" w:rsidRDefault="00D93BCF" w:rsidP="00D93BCF">
      <w:pPr>
        <w:pStyle w:val="NoSpacing"/>
        <w:rPr>
          <w:rFonts w:ascii="Arial" w:hAnsi="Arial" w:cs="Arial"/>
          <w:sz w:val="22"/>
          <w:szCs w:val="22"/>
        </w:rPr>
      </w:pPr>
      <w:r w:rsidRPr="00780A99">
        <w:rPr>
          <w:rFonts w:ascii="Arial" w:hAnsi="Arial" w:cs="Arial"/>
          <w:b/>
          <w:sz w:val="22"/>
          <w:szCs w:val="22"/>
        </w:rPr>
        <w:t>Payment Support</w:t>
      </w:r>
      <w:r w:rsidRPr="00780A99">
        <w:rPr>
          <w:rFonts w:ascii="Arial" w:hAnsi="Arial" w:cs="Arial"/>
          <w:sz w:val="22"/>
          <w:szCs w:val="22"/>
        </w:rPr>
        <w:br/>
        <w:t xml:space="preserve">Mississippi Interactive will provide support for all user payment inquiries. MSI is located at 200 S. Lamar St., Suite 800, Jackson, MS 39201 and customer payment support is available during normal business hours (Monday – Friday 8am – 5pm CST). MSI’s toll free support number (1-877-290-9487) is listed on the ms.gov Common Checkout page and is accessible to all users. For payment emergencies a technical support cellular number will be provided to the State </w:t>
      </w:r>
      <w:r w:rsidRPr="00780A99">
        <w:rPr>
          <w:rFonts w:ascii="Arial" w:hAnsi="Arial" w:cs="Arial"/>
          <w:sz w:val="22"/>
          <w:szCs w:val="22"/>
        </w:rPr>
        <w:lastRenderedPageBreak/>
        <w:t xml:space="preserve">contact.  </w:t>
      </w:r>
      <w:r w:rsidRPr="00780A99">
        <w:rPr>
          <w:rFonts w:ascii="Arial" w:hAnsi="Arial" w:cs="Arial"/>
          <w:sz w:val="22"/>
          <w:szCs w:val="22"/>
        </w:rPr>
        <w:br/>
      </w:r>
      <w:r w:rsidRPr="00780A99">
        <w:rPr>
          <w:rFonts w:ascii="Arial" w:hAnsi="Arial" w:cs="Arial"/>
          <w:sz w:val="22"/>
          <w:szCs w:val="22"/>
        </w:rPr>
        <w:br/>
        <w:t xml:space="preserve">MSI will work directly with the awarded vendor and/or the agencies to identify, report, track, monitor, escalate, and resolve any technical issues with TPE or CCP. It is MSI’s policy to notify all awarded vendors and agencies of planned maintenance windows or system updates to avoid any payment issues.  </w:t>
      </w:r>
    </w:p>
    <w:p w14:paraId="19D9284C" w14:textId="77777777" w:rsidR="00D93BCF" w:rsidRPr="00780A99" w:rsidRDefault="00D93BCF" w:rsidP="00D93BCF">
      <w:pPr>
        <w:pStyle w:val="NoSpacing"/>
        <w:rPr>
          <w:rFonts w:ascii="Arial" w:hAnsi="Arial" w:cs="Arial"/>
          <w:sz w:val="22"/>
          <w:szCs w:val="22"/>
        </w:rPr>
      </w:pPr>
      <w:r w:rsidRPr="00780A99">
        <w:rPr>
          <w:rFonts w:ascii="Arial" w:hAnsi="Arial" w:cs="Arial"/>
          <w:sz w:val="22"/>
          <w:szCs w:val="22"/>
        </w:rPr>
        <w:br/>
        <w:t>State entities and/or awarded vendors will not be charged for MSI’s efforts during payment implementation or any training/support.</w:t>
      </w:r>
    </w:p>
    <w:p w14:paraId="3AEB9E69" w14:textId="77777777" w:rsidR="00D93BCF" w:rsidRPr="00780A99" w:rsidRDefault="00D93BCF" w:rsidP="00D93BCF">
      <w:pPr>
        <w:rPr>
          <w:rFonts w:ascii="Arial" w:hAnsi="Arial" w:cs="Arial"/>
          <w:sz w:val="22"/>
          <w:szCs w:val="22"/>
        </w:rPr>
      </w:pPr>
      <w:r w:rsidRPr="00780A99">
        <w:rPr>
          <w:rFonts w:ascii="Arial" w:hAnsi="Arial" w:cs="Arial"/>
          <w:b/>
          <w:sz w:val="22"/>
          <w:szCs w:val="22"/>
        </w:rPr>
        <w:br/>
        <w:t>Technical Requirements</w:t>
      </w:r>
      <w:r w:rsidRPr="00780A99">
        <w:rPr>
          <w:rFonts w:ascii="Arial" w:hAnsi="Arial" w:cs="Arial"/>
          <w:sz w:val="22"/>
          <w:szCs w:val="22"/>
        </w:rPr>
        <w:br/>
        <w:t xml:space="preserve">Mississippi’s payment solution is designed to provide two methods of integration: CommonCheckout (where the user clicks on a “Pay Now” button and is transferred to a set of common checkout pages branded for ms.gov), and DirectConnect (where the application has self-contained checkout pages and will call TPE for verification and capture once all payment information has been entered). In both of these instances, the awarded vendor will utilize standard web services protocols. </w:t>
      </w:r>
      <w:r w:rsidRPr="00780A99">
        <w:rPr>
          <w:rFonts w:ascii="Arial" w:hAnsi="Arial" w:cs="Arial"/>
          <w:sz w:val="22"/>
          <w:szCs w:val="22"/>
        </w:rPr>
        <w:br/>
      </w:r>
      <w:r w:rsidRPr="00780A99">
        <w:rPr>
          <w:rFonts w:ascii="Arial" w:hAnsi="Arial" w:cs="Arial"/>
          <w:sz w:val="22"/>
          <w:szCs w:val="22"/>
        </w:rPr>
        <w:br/>
        <w:t xml:space="preserve">The CommonCheckout integration is required by ITS and DFA.  Should special circumstances arise where the CommonCheckout is not applicable and/or the DirectConnect option is required, approval from both State agencies is mandatory. </w:t>
      </w:r>
      <w:r w:rsidRPr="00780A99">
        <w:rPr>
          <w:rFonts w:ascii="Arial" w:hAnsi="Arial" w:cs="Arial"/>
          <w:sz w:val="22"/>
          <w:szCs w:val="22"/>
        </w:rPr>
        <w:br/>
      </w:r>
      <w:r w:rsidRPr="00780A99">
        <w:rPr>
          <w:rFonts w:ascii="Arial" w:hAnsi="Arial" w:cs="Arial"/>
          <w:sz w:val="22"/>
          <w:szCs w:val="22"/>
        </w:rPr>
        <w:br/>
        <w:t xml:space="preserve">High level descriptions of the integration requirements are included in this section. For detailed documentation please contact </w:t>
      </w:r>
      <w:r>
        <w:rPr>
          <w:rFonts w:ascii="Arial" w:hAnsi="Arial" w:cs="Arial"/>
          <w:sz w:val="22"/>
          <w:szCs w:val="22"/>
        </w:rPr>
        <w:t>Derrick Cole</w:t>
      </w:r>
      <w:r w:rsidRPr="00780A99">
        <w:rPr>
          <w:rFonts w:ascii="Arial" w:hAnsi="Arial" w:cs="Arial"/>
          <w:sz w:val="22"/>
          <w:szCs w:val="22"/>
        </w:rPr>
        <w:t xml:space="preserve">, Mississippi Interative’s Director of Technology, at </w:t>
      </w:r>
      <w:hyperlink r:id="rId41" w:history="1">
        <w:r>
          <w:rPr>
            <w:rStyle w:val="Hyperlink"/>
            <w:rFonts w:ascii="Arial" w:hAnsi="Arial" w:cs="Arial"/>
            <w:sz w:val="22"/>
            <w:szCs w:val="22"/>
          </w:rPr>
          <w:t>Derrick.Cole@egov.com</w:t>
        </w:r>
      </w:hyperlink>
      <w:r w:rsidRPr="00780A99">
        <w:rPr>
          <w:rFonts w:ascii="Arial" w:hAnsi="Arial" w:cs="Arial"/>
          <w:sz w:val="22"/>
          <w:szCs w:val="22"/>
        </w:rPr>
        <w:t xml:space="preserve">.  </w:t>
      </w:r>
    </w:p>
    <w:p w14:paraId="7C2901D3" w14:textId="77777777" w:rsidR="00D93BCF" w:rsidRPr="00780A99" w:rsidRDefault="00D93BCF" w:rsidP="00D93BCF">
      <w:pPr>
        <w:rPr>
          <w:rFonts w:ascii="Arial" w:hAnsi="Arial" w:cs="Arial"/>
          <w:sz w:val="22"/>
          <w:szCs w:val="22"/>
        </w:rPr>
      </w:pPr>
      <w:r w:rsidRPr="00780A99">
        <w:rPr>
          <w:rFonts w:ascii="Arial" w:hAnsi="Arial" w:cs="Arial"/>
          <w:sz w:val="22"/>
          <w:szCs w:val="22"/>
          <w:u w:val="single"/>
        </w:rPr>
        <w:t>CommonCheckout (CCP)</w:t>
      </w:r>
      <w:r w:rsidRPr="00780A99">
        <w:rPr>
          <w:rFonts w:ascii="Arial" w:hAnsi="Arial" w:cs="Arial"/>
          <w:sz w:val="22"/>
          <w:szCs w:val="22"/>
        </w:rPr>
        <w:br/>
        <w:t>When utilizing CommonCheckout, the calling application is not responsible for collecting the credit card or banking information. Instead, the application sends the transaction data to the CommonCheckout interface which collects and processes all payment information. The CommonCheckout interface will then return to the calling application all transaction status details and information related to the transaction.</w:t>
      </w:r>
    </w:p>
    <w:p w14:paraId="4C37FA22" w14:textId="77777777" w:rsidR="00D93BCF" w:rsidRPr="00780A99" w:rsidRDefault="00D93BCF" w:rsidP="00D93BCF">
      <w:pPr>
        <w:rPr>
          <w:rFonts w:ascii="Arial" w:hAnsi="Arial" w:cs="Arial"/>
          <w:color w:val="0B5AB2"/>
          <w:sz w:val="22"/>
          <w:szCs w:val="22"/>
        </w:rPr>
      </w:pPr>
      <w:r w:rsidRPr="00780A99">
        <w:rPr>
          <w:rFonts w:ascii="Arial" w:hAnsi="Arial" w:cs="Arial"/>
          <w:sz w:val="22"/>
          <w:szCs w:val="22"/>
        </w:rPr>
        <w:t>CCP Option 1:  Server-side Web Service Calls and Browser-side Redirect</w:t>
      </w:r>
    </w:p>
    <w:p w14:paraId="1A83B535" w14:textId="77777777" w:rsidR="00D93BCF" w:rsidRPr="00780A99" w:rsidRDefault="00D93BCF" w:rsidP="00D93BCF">
      <w:pPr>
        <w:ind w:left="1920" w:hanging="960"/>
        <w:rPr>
          <w:rFonts w:ascii="Arial" w:hAnsi="Arial" w:cs="Arial"/>
          <w:color w:val="0B5AB2"/>
          <w:sz w:val="22"/>
          <w:szCs w:val="22"/>
        </w:rPr>
      </w:pPr>
    </w:p>
    <w:p w14:paraId="49CB7756" w14:textId="77777777" w:rsidR="00D93BCF" w:rsidRPr="00780A99" w:rsidRDefault="00D93BCF" w:rsidP="00D93BCF">
      <w:pPr>
        <w:spacing w:after="160"/>
        <w:rPr>
          <w:rFonts w:ascii="Arial" w:hAnsi="Arial" w:cs="Arial"/>
          <w:sz w:val="22"/>
          <w:szCs w:val="22"/>
        </w:rPr>
      </w:pPr>
      <w:r w:rsidRPr="00780A99">
        <w:rPr>
          <w:rFonts w:ascii="Arial" w:hAnsi="Arial" w:cs="Arial"/>
          <w:sz w:val="22"/>
          <w:szCs w:val="22"/>
        </w:rPr>
        <w:t xml:space="preserve">The partner application is required to invoke Prepare Checkout Operation on the Common Checkout web service that is passing along the financial/customer/application information.  </w:t>
      </w:r>
    </w:p>
    <w:p w14:paraId="1DAE0A37" w14:textId="77777777" w:rsidR="00D93BCF" w:rsidRPr="00780A99" w:rsidRDefault="00D93BCF" w:rsidP="0061377C">
      <w:pPr>
        <w:pStyle w:val="ListParagraph"/>
        <w:widowControl w:val="0"/>
        <w:numPr>
          <w:ilvl w:val="0"/>
          <w:numId w:val="15"/>
        </w:numPr>
        <w:autoSpaceDE w:val="0"/>
        <w:autoSpaceDN w:val="0"/>
        <w:adjustRightInd w:val="0"/>
        <w:spacing w:after="160"/>
        <w:rPr>
          <w:rFonts w:ascii="Arial" w:hAnsi="Arial" w:cs="Arial"/>
        </w:rPr>
      </w:pPr>
      <w:r w:rsidRPr="00780A99">
        <w:rPr>
          <w:rFonts w:ascii="Arial" w:hAnsi="Arial" w:cs="Arial"/>
        </w:rPr>
        <w:t>The Web Service operation returns a token back in the SOAP response.  The token is required as a hidden field on the form post to the Common Checkout web application or a redirect. </w:t>
      </w:r>
    </w:p>
    <w:p w14:paraId="38CAB001" w14:textId="77777777" w:rsidR="00D93BCF" w:rsidRPr="00780A99" w:rsidRDefault="00D93BCF" w:rsidP="0061377C">
      <w:pPr>
        <w:pStyle w:val="ListParagraph"/>
        <w:widowControl w:val="0"/>
        <w:numPr>
          <w:ilvl w:val="0"/>
          <w:numId w:val="15"/>
        </w:numPr>
        <w:autoSpaceDE w:val="0"/>
        <w:autoSpaceDN w:val="0"/>
        <w:adjustRightInd w:val="0"/>
        <w:spacing w:after="160"/>
        <w:rPr>
          <w:rFonts w:ascii="Arial" w:hAnsi="Arial" w:cs="Arial"/>
        </w:rPr>
      </w:pPr>
      <w:r w:rsidRPr="00780A99">
        <w:rPr>
          <w:rFonts w:ascii="Arial" w:hAnsi="Arial" w:cs="Arial"/>
        </w:rPr>
        <w:t>The Prepare Checkout Service returns the token back.  This token is required as a hidden field on the form post or query string to the Common Checkout web application. </w:t>
      </w:r>
    </w:p>
    <w:p w14:paraId="52CEEFE7" w14:textId="77777777" w:rsidR="00D93BCF" w:rsidRPr="00780A99" w:rsidRDefault="00D93BCF" w:rsidP="0061377C">
      <w:pPr>
        <w:pStyle w:val="ListParagraph"/>
        <w:widowControl w:val="0"/>
        <w:numPr>
          <w:ilvl w:val="0"/>
          <w:numId w:val="15"/>
        </w:numPr>
        <w:autoSpaceDE w:val="0"/>
        <w:autoSpaceDN w:val="0"/>
        <w:adjustRightInd w:val="0"/>
        <w:spacing w:after="160"/>
        <w:rPr>
          <w:rFonts w:ascii="Arial" w:hAnsi="Arial" w:cs="Arial"/>
        </w:rPr>
      </w:pPr>
      <w:r w:rsidRPr="00780A99">
        <w:rPr>
          <w:rFonts w:ascii="Arial" w:hAnsi="Arial" w:cs="Arial"/>
        </w:rPr>
        <w:t>When the customer chooses to continue with the payment by clicking a form button on the partner screen, the browser redirects to the Common Checkout web application. </w:t>
      </w:r>
    </w:p>
    <w:p w14:paraId="67D64D14" w14:textId="77777777" w:rsidR="00D93BCF" w:rsidRPr="00780A99" w:rsidRDefault="00D93BCF" w:rsidP="0061377C">
      <w:pPr>
        <w:pStyle w:val="ListParagraph"/>
        <w:widowControl w:val="0"/>
        <w:numPr>
          <w:ilvl w:val="0"/>
          <w:numId w:val="15"/>
        </w:numPr>
        <w:autoSpaceDE w:val="0"/>
        <w:autoSpaceDN w:val="0"/>
        <w:adjustRightInd w:val="0"/>
        <w:spacing w:after="160"/>
        <w:rPr>
          <w:rFonts w:ascii="Arial" w:hAnsi="Arial" w:cs="Arial"/>
        </w:rPr>
      </w:pPr>
      <w:r w:rsidRPr="00780A99">
        <w:rPr>
          <w:rFonts w:ascii="Arial" w:hAnsi="Arial" w:cs="Arial"/>
        </w:rPr>
        <w:t>The Common Checkout web application retrieves the customer/financial/application data associated with the token and displays it on the payment page. </w:t>
      </w:r>
    </w:p>
    <w:p w14:paraId="2357E224" w14:textId="77777777" w:rsidR="00D93BCF" w:rsidRPr="00780A99" w:rsidRDefault="00D93BCF" w:rsidP="0061377C">
      <w:pPr>
        <w:pStyle w:val="ListParagraph"/>
        <w:widowControl w:val="0"/>
        <w:numPr>
          <w:ilvl w:val="0"/>
          <w:numId w:val="15"/>
        </w:numPr>
        <w:autoSpaceDE w:val="0"/>
        <w:autoSpaceDN w:val="0"/>
        <w:adjustRightInd w:val="0"/>
        <w:spacing w:after="160"/>
        <w:rPr>
          <w:rFonts w:ascii="Arial" w:hAnsi="Arial" w:cs="Arial"/>
        </w:rPr>
      </w:pPr>
      <w:r w:rsidRPr="00780A99">
        <w:rPr>
          <w:rFonts w:ascii="Arial" w:hAnsi="Arial" w:cs="Arial"/>
        </w:rPr>
        <w:t>Upon submission of the payment, Common Checkout redirects to the partner application or displays a receipt page, based on the configuration.  In the latter case, the redirect to the partner application happens when a customer clicks a button on the receipt screen. </w:t>
      </w:r>
    </w:p>
    <w:p w14:paraId="7D8B4BCD" w14:textId="77777777" w:rsidR="00D93BCF" w:rsidRPr="00780A99" w:rsidRDefault="00D93BCF" w:rsidP="0061377C">
      <w:pPr>
        <w:pStyle w:val="ListParagraph"/>
        <w:widowControl w:val="0"/>
        <w:numPr>
          <w:ilvl w:val="0"/>
          <w:numId w:val="15"/>
        </w:numPr>
        <w:autoSpaceDE w:val="0"/>
        <w:autoSpaceDN w:val="0"/>
        <w:adjustRightInd w:val="0"/>
        <w:spacing w:after="160"/>
        <w:rPr>
          <w:rFonts w:ascii="Arial" w:hAnsi="Arial" w:cs="Arial"/>
        </w:rPr>
      </w:pPr>
      <w:r w:rsidRPr="00780A99">
        <w:rPr>
          <w:rFonts w:ascii="Arial" w:hAnsi="Arial" w:cs="Arial"/>
        </w:rPr>
        <w:t xml:space="preserve">The partner application is required to do a call back to the Query payment web service </w:t>
      </w:r>
      <w:r w:rsidRPr="00780A99">
        <w:rPr>
          <w:rFonts w:ascii="Arial" w:hAnsi="Arial" w:cs="Arial"/>
        </w:rPr>
        <w:lastRenderedPageBreak/>
        <w:t>by sending the token.  The service will return the transaction information back in the SOAP response.  This ensures authenticity of the payment.</w:t>
      </w:r>
    </w:p>
    <w:p w14:paraId="63E7F7AC" w14:textId="77777777" w:rsidR="00D93BCF" w:rsidRPr="00780A99" w:rsidRDefault="00D93BCF" w:rsidP="00D93BCF">
      <w:pPr>
        <w:spacing w:after="160"/>
        <w:rPr>
          <w:rFonts w:ascii="Arial" w:hAnsi="Arial" w:cs="Arial"/>
          <w:color w:val="000000"/>
          <w:spacing w:val="-1"/>
          <w:sz w:val="22"/>
          <w:szCs w:val="22"/>
        </w:rPr>
      </w:pPr>
      <w:r w:rsidRPr="00780A99">
        <w:rPr>
          <w:rFonts w:ascii="Arial" w:hAnsi="Arial" w:cs="Arial"/>
          <w:color w:val="000000"/>
          <w:sz w:val="22"/>
          <w:szCs w:val="22"/>
        </w:rPr>
        <w:t>T</w:t>
      </w:r>
      <w:r w:rsidRPr="00780A99">
        <w:rPr>
          <w:rFonts w:ascii="Arial" w:hAnsi="Arial" w:cs="Arial"/>
          <w:color w:val="000000"/>
          <w:spacing w:val="-1"/>
          <w:sz w:val="22"/>
          <w:szCs w:val="22"/>
        </w:rPr>
        <w:t>h</w:t>
      </w:r>
      <w:r w:rsidRPr="00780A99">
        <w:rPr>
          <w:rFonts w:ascii="Arial" w:hAnsi="Arial" w:cs="Arial"/>
          <w:color w:val="000000"/>
          <w:sz w:val="22"/>
          <w:szCs w:val="22"/>
        </w:rPr>
        <w:t>e</w:t>
      </w:r>
      <w:r w:rsidRPr="00780A99">
        <w:rPr>
          <w:rFonts w:ascii="Arial" w:hAnsi="Arial" w:cs="Arial"/>
          <w:color w:val="000000"/>
          <w:spacing w:val="1"/>
          <w:sz w:val="22"/>
          <w:szCs w:val="22"/>
        </w:rPr>
        <w:t xml:space="preserve"> </w:t>
      </w:r>
      <w:r w:rsidRPr="00780A99">
        <w:rPr>
          <w:rFonts w:ascii="Arial" w:hAnsi="Arial" w:cs="Arial"/>
          <w:color w:val="000000"/>
          <w:spacing w:val="-3"/>
          <w:sz w:val="22"/>
          <w:szCs w:val="22"/>
        </w:rPr>
        <w:t>f</w:t>
      </w:r>
      <w:r w:rsidRPr="00780A99">
        <w:rPr>
          <w:rFonts w:ascii="Arial" w:hAnsi="Arial" w:cs="Arial"/>
          <w:color w:val="000000"/>
          <w:spacing w:val="1"/>
          <w:sz w:val="22"/>
          <w:szCs w:val="22"/>
        </w:rPr>
        <w:t>o</w:t>
      </w:r>
      <w:r w:rsidRPr="00780A99">
        <w:rPr>
          <w:rFonts w:ascii="Arial" w:hAnsi="Arial" w:cs="Arial"/>
          <w:color w:val="000000"/>
          <w:sz w:val="22"/>
          <w:szCs w:val="22"/>
        </w:rPr>
        <w:t>ll</w:t>
      </w:r>
      <w:r w:rsidRPr="00780A99">
        <w:rPr>
          <w:rFonts w:ascii="Arial" w:hAnsi="Arial" w:cs="Arial"/>
          <w:color w:val="000000"/>
          <w:spacing w:val="-1"/>
          <w:sz w:val="22"/>
          <w:szCs w:val="22"/>
        </w:rPr>
        <w:t>o</w:t>
      </w:r>
      <w:r w:rsidRPr="00780A99">
        <w:rPr>
          <w:rFonts w:ascii="Arial" w:hAnsi="Arial" w:cs="Arial"/>
          <w:color w:val="000000"/>
          <w:sz w:val="22"/>
          <w:szCs w:val="22"/>
        </w:rPr>
        <w:t>wi</w:t>
      </w:r>
      <w:r w:rsidRPr="00780A99">
        <w:rPr>
          <w:rFonts w:ascii="Arial" w:hAnsi="Arial" w:cs="Arial"/>
          <w:color w:val="000000"/>
          <w:spacing w:val="-1"/>
          <w:sz w:val="22"/>
          <w:szCs w:val="22"/>
        </w:rPr>
        <w:t>n</w:t>
      </w:r>
      <w:r w:rsidRPr="00780A99">
        <w:rPr>
          <w:rFonts w:ascii="Arial" w:hAnsi="Arial" w:cs="Arial"/>
          <w:color w:val="000000"/>
          <w:sz w:val="22"/>
          <w:szCs w:val="22"/>
        </w:rPr>
        <w:t>g fi</w:t>
      </w:r>
      <w:r w:rsidRPr="00780A99">
        <w:rPr>
          <w:rFonts w:ascii="Arial" w:hAnsi="Arial" w:cs="Arial"/>
          <w:color w:val="000000"/>
          <w:spacing w:val="-1"/>
          <w:sz w:val="22"/>
          <w:szCs w:val="22"/>
        </w:rPr>
        <w:t>gu</w:t>
      </w:r>
      <w:r w:rsidRPr="00780A99">
        <w:rPr>
          <w:rFonts w:ascii="Arial" w:hAnsi="Arial" w:cs="Arial"/>
          <w:color w:val="000000"/>
          <w:sz w:val="22"/>
          <w:szCs w:val="22"/>
        </w:rPr>
        <w:t>re</w:t>
      </w:r>
      <w:r w:rsidRPr="00780A99">
        <w:rPr>
          <w:rFonts w:ascii="Arial" w:hAnsi="Arial" w:cs="Arial"/>
          <w:color w:val="000000"/>
          <w:spacing w:val="1"/>
          <w:sz w:val="22"/>
          <w:szCs w:val="22"/>
        </w:rPr>
        <w:t xml:space="preserve"> o</w:t>
      </w:r>
      <w:r w:rsidRPr="00780A99">
        <w:rPr>
          <w:rFonts w:ascii="Arial" w:hAnsi="Arial" w:cs="Arial"/>
          <w:color w:val="000000"/>
          <w:spacing w:val="-3"/>
          <w:sz w:val="22"/>
          <w:szCs w:val="22"/>
        </w:rPr>
        <w:t>u</w:t>
      </w:r>
      <w:r w:rsidRPr="00780A99">
        <w:rPr>
          <w:rFonts w:ascii="Arial" w:hAnsi="Arial" w:cs="Arial"/>
          <w:color w:val="000000"/>
          <w:sz w:val="22"/>
          <w:szCs w:val="22"/>
        </w:rPr>
        <w:t>tli</w:t>
      </w:r>
      <w:r w:rsidRPr="00780A99">
        <w:rPr>
          <w:rFonts w:ascii="Arial" w:hAnsi="Arial" w:cs="Arial"/>
          <w:color w:val="000000"/>
          <w:spacing w:val="-1"/>
          <w:sz w:val="22"/>
          <w:szCs w:val="22"/>
        </w:rPr>
        <w:t>n</w:t>
      </w:r>
      <w:r w:rsidRPr="00780A99">
        <w:rPr>
          <w:rFonts w:ascii="Arial" w:hAnsi="Arial" w:cs="Arial"/>
          <w:color w:val="000000"/>
          <w:spacing w:val="1"/>
          <w:sz w:val="22"/>
          <w:szCs w:val="22"/>
        </w:rPr>
        <w:t>e</w:t>
      </w:r>
      <w:r w:rsidRPr="00780A99">
        <w:rPr>
          <w:rFonts w:ascii="Arial" w:hAnsi="Arial" w:cs="Arial"/>
          <w:color w:val="000000"/>
          <w:sz w:val="22"/>
          <w:szCs w:val="22"/>
        </w:rPr>
        <w:t>s</w:t>
      </w:r>
      <w:r w:rsidRPr="00780A99">
        <w:rPr>
          <w:rFonts w:ascii="Arial" w:hAnsi="Arial" w:cs="Arial"/>
          <w:color w:val="000000"/>
          <w:spacing w:val="1"/>
          <w:sz w:val="22"/>
          <w:szCs w:val="22"/>
        </w:rPr>
        <w:t xml:space="preserve"> </w:t>
      </w:r>
      <w:r w:rsidRPr="00780A99">
        <w:rPr>
          <w:rFonts w:ascii="Arial" w:hAnsi="Arial" w:cs="Arial"/>
          <w:color w:val="000000"/>
          <w:sz w:val="22"/>
          <w:szCs w:val="22"/>
        </w:rPr>
        <w:t xml:space="preserve">a </w:t>
      </w:r>
      <w:r w:rsidRPr="00780A99">
        <w:rPr>
          <w:rFonts w:ascii="Arial" w:hAnsi="Arial" w:cs="Arial"/>
          <w:color w:val="000000"/>
          <w:spacing w:val="-2"/>
          <w:sz w:val="22"/>
          <w:szCs w:val="22"/>
        </w:rPr>
        <w:t>t</w:t>
      </w:r>
      <w:r w:rsidRPr="00780A99">
        <w:rPr>
          <w:rFonts w:ascii="Arial" w:hAnsi="Arial" w:cs="Arial"/>
          <w:color w:val="000000"/>
          <w:spacing w:val="1"/>
          <w:sz w:val="22"/>
          <w:szCs w:val="22"/>
        </w:rPr>
        <w:t>y</w:t>
      </w:r>
      <w:r w:rsidRPr="00780A99">
        <w:rPr>
          <w:rFonts w:ascii="Arial" w:hAnsi="Arial" w:cs="Arial"/>
          <w:color w:val="000000"/>
          <w:spacing w:val="-1"/>
          <w:sz w:val="22"/>
          <w:szCs w:val="22"/>
        </w:rPr>
        <w:t>p</w:t>
      </w:r>
      <w:r w:rsidRPr="00780A99">
        <w:rPr>
          <w:rFonts w:ascii="Arial" w:hAnsi="Arial" w:cs="Arial"/>
          <w:color w:val="000000"/>
          <w:sz w:val="22"/>
          <w:szCs w:val="22"/>
        </w:rPr>
        <w:t>ical</w:t>
      </w:r>
      <w:r w:rsidRPr="00780A99">
        <w:rPr>
          <w:color w:val="000000"/>
          <w:sz w:val="22"/>
          <w:szCs w:val="22"/>
        </w:rPr>
        <w:t xml:space="preserve"> </w:t>
      </w:r>
      <w:r w:rsidRPr="00780A99">
        <w:rPr>
          <w:rFonts w:ascii="Arial" w:hAnsi="Arial" w:cs="Arial"/>
          <w:color w:val="000000"/>
          <w:spacing w:val="-1"/>
          <w:sz w:val="22"/>
          <w:szCs w:val="22"/>
        </w:rPr>
        <w:t>p</w:t>
      </w:r>
      <w:r w:rsidRPr="00780A99">
        <w:rPr>
          <w:rFonts w:ascii="Arial" w:hAnsi="Arial" w:cs="Arial"/>
          <w:color w:val="000000"/>
          <w:spacing w:val="-3"/>
          <w:sz w:val="22"/>
          <w:szCs w:val="22"/>
        </w:rPr>
        <w:t>r</w:t>
      </w:r>
      <w:r w:rsidRPr="00780A99">
        <w:rPr>
          <w:rFonts w:ascii="Arial" w:hAnsi="Arial" w:cs="Arial"/>
          <w:color w:val="000000"/>
          <w:spacing w:val="1"/>
          <w:sz w:val="22"/>
          <w:szCs w:val="22"/>
        </w:rPr>
        <w:t>o</w:t>
      </w:r>
      <w:r w:rsidRPr="00780A99">
        <w:rPr>
          <w:rFonts w:ascii="Arial" w:hAnsi="Arial" w:cs="Arial"/>
          <w:color w:val="000000"/>
          <w:sz w:val="22"/>
          <w:szCs w:val="22"/>
        </w:rPr>
        <w:t>c</w:t>
      </w:r>
      <w:r w:rsidRPr="00780A99">
        <w:rPr>
          <w:rFonts w:ascii="Arial" w:hAnsi="Arial" w:cs="Arial"/>
          <w:color w:val="000000"/>
          <w:spacing w:val="-2"/>
          <w:sz w:val="22"/>
          <w:szCs w:val="22"/>
        </w:rPr>
        <w:t>e</w:t>
      </w:r>
      <w:r w:rsidRPr="00780A99">
        <w:rPr>
          <w:rFonts w:ascii="Arial" w:hAnsi="Arial" w:cs="Arial"/>
          <w:color w:val="000000"/>
          <w:sz w:val="22"/>
          <w:szCs w:val="22"/>
        </w:rPr>
        <w:t>ss</w:t>
      </w:r>
      <w:r w:rsidRPr="00780A99">
        <w:rPr>
          <w:rFonts w:ascii="Arial" w:hAnsi="Arial" w:cs="Arial"/>
          <w:color w:val="000000"/>
          <w:spacing w:val="1"/>
          <w:sz w:val="22"/>
          <w:szCs w:val="22"/>
        </w:rPr>
        <w:t xml:space="preserve"> </w:t>
      </w:r>
      <w:r w:rsidRPr="00780A99">
        <w:rPr>
          <w:rFonts w:ascii="Arial" w:hAnsi="Arial" w:cs="Arial"/>
          <w:color w:val="000000"/>
          <w:sz w:val="22"/>
          <w:szCs w:val="22"/>
        </w:rPr>
        <w:t>f</w:t>
      </w:r>
      <w:r w:rsidRPr="00780A99">
        <w:rPr>
          <w:rFonts w:ascii="Arial" w:hAnsi="Arial" w:cs="Arial"/>
          <w:color w:val="000000"/>
          <w:spacing w:val="-3"/>
          <w:sz w:val="22"/>
          <w:szCs w:val="22"/>
        </w:rPr>
        <w:t>l</w:t>
      </w:r>
      <w:r w:rsidRPr="00780A99">
        <w:rPr>
          <w:rFonts w:ascii="Arial" w:hAnsi="Arial" w:cs="Arial"/>
          <w:color w:val="000000"/>
          <w:spacing w:val="1"/>
          <w:sz w:val="22"/>
          <w:szCs w:val="22"/>
        </w:rPr>
        <w:t>o</w:t>
      </w:r>
      <w:r w:rsidRPr="00780A99">
        <w:rPr>
          <w:rFonts w:ascii="Arial" w:hAnsi="Arial" w:cs="Arial"/>
          <w:color w:val="000000"/>
          <w:sz w:val="22"/>
          <w:szCs w:val="22"/>
        </w:rPr>
        <w:t>w</w:t>
      </w:r>
      <w:r w:rsidRPr="00780A99">
        <w:rPr>
          <w:rFonts w:ascii="Arial" w:hAnsi="Arial" w:cs="Arial"/>
          <w:color w:val="000000"/>
          <w:spacing w:val="1"/>
          <w:sz w:val="22"/>
          <w:szCs w:val="22"/>
        </w:rPr>
        <w:t xml:space="preserve"> </w:t>
      </w:r>
      <w:r w:rsidRPr="00780A99">
        <w:rPr>
          <w:rFonts w:ascii="Arial" w:hAnsi="Arial" w:cs="Arial"/>
          <w:color w:val="000000"/>
          <w:spacing w:val="-3"/>
          <w:sz w:val="22"/>
          <w:szCs w:val="22"/>
        </w:rPr>
        <w:t>f</w:t>
      </w:r>
      <w:r w:rsidRPr="00780A99">
        <w:rPr>
          <w:rFonts w:ascii="Arial" w:hAnsi="Arial" w:cs="Arial"/>
          <w:color w:val="000000"/>
          <w:spacing w:val="-1"/>
          <w:sz w:val="22"/>
          <w:szCs w:val="22"/>
        </w:rPr>
        <w:t>o</w:t>
      </w:r>
      <w:r w:rsidRPr="00780A99">
        <w:rPr>
          <w:rFonts w:ascii="Arial" w:hAnsi="Arial" w:cs="Arial"/>
          <w:color w:val="000000"/>
          <w:sz w:val="22"/>
          <w:szCs w:val="22"/>
        </w:rPr>
        <w:t>r a CommonCheckout</w:t>
      </w:r>
      <w:r w:rsidRPr="00780A99">
        <w:rPr>
          <w:rFonts w:ascii="Arial" w:hAnsi="Arial" w:cs="Arial"/>
          <w:color w:val="000000"/>
          <w:spacing w:val="2"/>
          <w:sz w:val="22"/>
          <w:szCs w:val="22"/>
        </w:rPr>
        <w:t xml:space="preserve"> </w:t>
      </w:r>
      <w:r w:rsidRPr="00780A99">
        <w:rPr>
          <w:rFonts w:ascii="Arial" w:hAnsi="Arial" w:cs="Arial"/>
          <w:color w:val="000000"/>
          <w:sz w:val="22"/>
          <w:szCs w:val="22"/>
        </w:rPr>
        <w:t>tra</w:t>
      </w:r>
      <w:r w:rsidRPr="00780A99">
        <w:rPr>
          <w:rFonts w:ascii="Arial" w:hAnsi="Arial" w:cs="Arial"/>
          <w:color w:val="000000"/>
          <w:spacing w:val="-1"/>
          <w:sz w:val="22"/>
          <w:szCs w:val="22"/>
        </w:rPr>
        <w:t>n</w:t>
      </w:r>
      <w:r w:rsidRPr="00780A99">
        <w:rPr>
          <w:rFonts w:ascii="Arial" w:hAnsi="Arial" w:cs="Arial"/>
          <w:color w:val="000000"/>
          <w:sz w:val="22"/>
          <w:szCs w:val="22"/>
        </w:rPr>
        <w:t>s</w:t>
      </w:r>
      <w:r w:rsidRPr="00780A99">
        <w:rPr>
          <w:rFonts w:ascii="Arial" w:hAnsi="Arial" w:cs="Arial"/>
          <w:color w:val="000000"/>
          <w:spacing w:val="-3"/>
          <w:sz w:val="22"/>
          <w:szCs w:val="22"/>
        </w:rPr>
        <w:t>a</w:t>
      </w:r>
      <w:r w:rsidRPr="00780A99">
        <w:rPr>
          <w:rFonts w:ascii="Arial" w:hAnsi="Arial" w:cs="Arial"/>
          <w:color w:val="000000"/>
          <w:sz w:val="22"/>
          <w:szCs w:val="22"/>
        </w:rPr>
        <w:t>cti</w:t>
      </w:r>
      <w:r w:rsidRPr="00780A99">
        <w:rPr>
          <w:rFonts w:ascii="Arial" w:hAnsi="Arial" w:cs="Arial"/>
          <w:color w:val="000000"/>
          <w:spacing w:val="1"/>
          <w:sz w:val="22"/>
          <w:szCs w:val="22"/>
        </w:rPr>
        <w:t>o</w:t>
      </w:r>
      <w:r w:rsidRPr="00780A99">
        <w:rPr>
          <w:rFonts w:ascii="Arial" w:hAnsi="Arial" w:cs="Arial"/>
          <w:color w:val="000000"/>
          <w:spacing w:val="-1"/>
          <w:sz w:val="22"/>
          <w:szCs w:val="22"/>
        </w:rPr>
        <w:t>n.</w:t>
      </w:r>
    </w:p>
    <w:p w14:paraId="55157998" w14:textId="77777777" w:rsidR="00D93BCF" w:rsidRPr="00780A99" w:rsidRDefault="00D93BCF" w:rsidP="00D93BCF">
      <w:pPr>
        <w:spacing w:after="160"/>
        <w:jc w:val="center"/>
        <w:rPr>
          <w:sz w:val="22"/>
          <w:szCs w:val="22"/>
        </w:rPr>
      </w:pPr>
      <w:r w:rsidRPr="00780A99">
        <w:object w:dxaOrig="11433" w:dyaOrig="14493" w14:anchorId="60A30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12pt" o:ole="">
            <v:imagedata r:id="rId42" o:title=""/>
          </v:shape>
          <o:OLEObject Type="Embed" ProgID="Visio.Drawing.11" ShapeID="_x0000_i1025" DrawAspect="Content" ObjectID="_1558264885" r:id="rId43"/>
        </w:object>
      </w:r>
    </w:p>
    <w:p w14:paraId="33E69C94" w14:textId="77777777" w:rsidR="00D93BCF" w:rsidRPr="00780A99" w:rsidRDefault="00D93BCF" w:rsidP="00D93BCF">
      <w:pPr>
        <w:rPr>
          <w:sz w:val="22"/>
          <w:szCs w:val="22"/>
        </w:rPr>
      </w:pPr>
    </w:p>
    <w:p w14:paraId="3111A3DF" w14:textId="77777777" w:rsidR="00D93BCF" w:rsidRPr="00780A99" w:rsidRDefault="00D93BCF" w:rsidP="00D93BCF">
      <w:pPr>
        <w:rPr>
          <w:sz w:val="22"/>
          <w:szCs w:val="22"/>
        </w:rPr>
      </w:pPr>
    </w:p>
    <w:p w14:paraId="0CC86E24" w14:textId="77777777" w:rsidR="00D93BCF" w:rsidRPr="00780A99" w:rsidRDefault="00D93BCF" w:rsidP="00D93BCF">
      <w:pPr>
        <w:rPr>
          <w:sz w:val="22"/>
          <w:szCs w:val="22"/>
        </w:rPr>
      </w:pPr>
    </w:p>
    <w:p w14:paraId="0036238A" w14:textId="77777777" w:rsidR="00D93BCF" w:rsidRPr="00780A99" w:rsidRDefault="00D93BCF" w:rsidP="00D93BCF">
      <w:pPr>
        <w:rPr>
          <w:rFonts w:ascii="Arial" w:hAnsi="Arial" w:cs="Arial"/>
          <w:sz w:val="22"/>
          <w:szCs w:val="22"/>
        </w:rPr>
      </w:pPr>
      <w:r w:rsidRPr="00780A99">
        <w:rPr>
          <w:rFonts w:ascii="Arial" w:hAnsi="Arial" w:cs="Arial"/>
          <w:sz w:val="22"/>
          <w:szCs w:val="22"/>
        </w:rPr>
        <w:t>CCP Option 2:  Server-side Name-Value-Pair HTTPS Posts and Browser-side Redirect</w:t>
      </w:r>
    </w:p>
    <w:p w14:paraId="37FE0B0C" w14:textId="77777777" w:rsidR="00D93BCF" w:rsidRPr="00780A99" w:rsidRDefault="00D93BCF" w:rsidP="00D93BCF">
      <w:pPr>
        <w:spacing w:after="160"/>
        <w:rPr>
          <w:rFonts w:ascii="Arial" w:hAnsi="Arial" w:cs="Arial"/>
          <w:sz w:val="22"/>
          <w:szCs w:val="22"/>
        </w:rPr>
      </w:pPr>
      <w:r w:rsidRPr="00780A99">
        <w:rPr>
          <w:sz w:val="22"/>
          <w:szCs w:val="22"/>
        </w:rPr>
        <w:br/>
      </w:r>
      <w:r w:rsidRPr="00780A99">
        <w:rPr>
          <w:rFonts w:ascii="Arial" w:hAnsi="Arial" w:cs="Arial"/>
          <w:sz w:val="22"/>
          <w:szCs w:val="22"/>
        </w:rPr>
        <w:t>The partner application is required to send the financial/customer/application information as multiple name/value pairs using HTTPS POST to the Prepare Checkout Post URL.  </w:t>
      </w:r>
    </w:p>
    <w:p w14:paraId="27FAA1C1" w14:textId="77777777" w:rsidR="00D93BCF" w:rsidRPr="00780A99" w:rsidRDefault="00D93BCF" w:rsidP="0061377C">
      <w:pPr>
        <w:pStyle w:val="ListParagraph"/>
        <w:widowControl w:val="0"/>
        <w:numPr>
          <w:ilvl w:val="0"/>
          <w:numId w:val="14"/>
        </w:numPr>
        <w:autoSpaceDE w:val="0"/>
        <w:autoSpaceDN w:val="0"/>
        <w:adjustRightInd w:val="0"/>
        <w:spacing w:after="160"/>
        <w:rPr>
          <w:rFonts w:ascii="Arial" w:hAnsi="Arial" w:cs="Arial"/>
        </w:rPr>
      </w:pPr>
      <w:r w:rsidRPr="00780A99">
        <w:rPr>
          <w:rFonts w:ascii="Arial" w:hAnsi="Arial" w:cs="Arial"/>
        </w:rPr>
        <w:t>The Prepare Checkout Service returns a token-based transaction identifier, which is required as a hidden field on the form post or query string to the Common Checkout web application. </w:t>
      </w:r>
    </w:p>
    <w:p w14:paraId="551C3B89" w14:textId="77777777" w:rsidR="00D93BCF" w:rsidRPr="00780A99" w:rsidRDefault="00D93BCF" w:rsidP="0061377C">
      <w:pPr>
        <w:pStyle w:val="ListParagraph"/>
        <w:widowControl w:val="0"/>
        <w:numPr>
          <w:ilvl w:val="0"/>
          <w:numId w:val="14"/>
        </w:numPr>
        <w:autoSpaceDE w:val="0"/>
        <w:autoSpaceDN w:val="0"/>
        <w:adjustRightInd w:val="0"/>
        <w:spacing w:after="160"/>
        <w:rPr>
          <w:rFonts w:ascii="Arial" w:hAnsi="Arial" w:cs="Arial"/>
        </w:rPr>
      </w:pPr>
      <w:r w:rsidRPr="00780A99">
        <w:rPr>
          <w:rFonts w:ascii="Arial" w:hAnsi="Arial" w:cs="Arial"/>
        </w:rPr>
        <w:t>When the customer chooses to continue with the payment by clicking a form button on the partner screen, the browser is redirected to Common Checkout web application. </w:t>
      </w:r>
    </w:p>
    <w:p w14:paraId="3724C91E" w14:textId="77777777" w:rsidR="00D93BCF" w:rsidRPr="00780A99" w:rsidRDefault="00D93BCF" w:rsidP="0061377C">
      <w:pPr>
        <w:pStyle w:val="ListParagraph"/>
        <w:widowControl w:val="0"/>
        <w:numPr>
          <w:ilvl w:val="0"/>
          <w:numId w:val="14"/>
        </w:numPr>
        <w:autoSpaceDE w:val="0"/>
        <w:autoSpaceDN w:val="0"/>
        <w:adjustRightInd w:val="0"/>
        <w:spacing w:after="160"/>
        <w:rPr>
          <w:rFonts w:ascii="Arial" w:hAnsi="Arial" w:cs="Arial"/>
        </w:rPr>
      </w:pPr>
      <w:r w:rsidRPr="00780A99">
        <w:rPr>
          <w:rFonts w:ascii="Arial" w:hAnsi="Arial" w:cs="Arial"/>
        </w:rPr>
        <w:t>The Common Checkout web application retrieves the customer/financial/application data for the transaction identified by the associated token and displays it on the payment page.</w:t>
      </w:r>
    </w:p>
    <w:p w14:paraId="19444F47" w14:textId="77777777" w:rsidR="00D93BCF" w:rsidRPr="00780A99" w:rsidRDefault="00D93BCF" w:rsidP="0061377C">
      <w:pPr>
        <w:pStyle w:val="ListParagraph"/>
        <w:widowControl w:val="0"/>
        <w:numPr>
          <w:ilvl w:val="0"/>
          <w:numId w:val="14"/>
        </w:numPr>
        <w:autoSpaceDE w:val="0"/>
        <w:autoSpaceDN w:val="0"/>
        <w:adjustRightInd w:val="0"/>
        <w:rPr>
          <w:rFonts w:ascii="Arial" w:hAnsi="Arial" w:cs="Arial"/>
        </w:rPr>
      </w:pPr>
      <w:r w:rsidRPr="00780A99">
        <w:rPr>
          <w:rFonts w:ascii="Arial" w:hAnsi="Arial" w:cs="Arial"/>
        </w:rPr>
        <w:t>Upon submission of the payment, Common Checkout redirects to the partner application or displays a receipt page, based on the configuration.  In the latter case, the redirect to the partner application happens once a customer clicks a button on the receipt screen. </w:t>
      </w:r>
    </w:p>
    <w:p w14:paraId="6CA2264A" w14:textId="77777777" w:rsidR="00D93BCF" w:rsidRPr="00780A99" w:rsidRDefault="00D93BCF" w:rsidP="0061377C">
      <w:pPr>
        <w:pStyle w:val="ListParagraph"/>
        <w:numPr>
          <w:ilvl w:val="0"/>
          <w:numId w:val="14"/>
        </w:numPr>
        <w:spacing w:after="200"/>
        <w:rPr>
          <w:rFonts w:ascii="Arial" w:hAnsi="Arial" w:cs="Arial"/>
        </w:rPr>
      </w:pPr>
      <w:r w:rsidRPr="00780A99">
        <w:rPr>
          <w:rFonts w:ascii="Arial" w:hAnsi="Arial" w:cs="Arial"/>
        </w:rPr>
        <w:t>The partner application requires a call back to the Query payment HTTP service by sending the token.  The service returns the payment</w:t>
      </w:r>
      <w:r w:rsidRPr="00780A99">
        <w:rPr>
          <w:rFonts w:ascii="Arial" w:hAnsi="Arial" w:cs="Arial"/>
          <w:color w:val="FB0007"/>
        </w:rPr>
        <w:t> </w:t>
      </w:r>
      <w:r w:rsidRPr="00780A99">
        <w:rPr>
          <w:rFonts w:ascii="Arial" w:hAnsi="Arial" w:cs="Arial"/>
        </w:rPr>
        <w:t>detail back as name value pairs.  This ensures authenticity of the payment.</w:t>
      </w:r>
    </w:p>
    <w:p w14:paraId="23A3DA5F" w14:textId="77777777" w:rsidR="00D93BCF" w:rsidRPr="00780A99" w:rsidRDefault="00D93BCF" w:rsidP="00D93BCF">
      <w:pPr>
        <w:rPr>
          <w:rFonts w:ascii="Arial" w:hAnsi="Arial" w:cs="Arial"/>
          <w:sz w:val="22"/>
          <w:szCs w:val="22"/>
          <w:u w:val="single"/>
        </w:rPr>
      </w:pPr>
      <w:r w:rsidRPr="00780A99">
        <w:rPr>
          <w:rFonts w:ascii="Arial" w:hAnsi="Arial" w:cs="Arial"/>
          <w:sz w:val="22"/>
          <w:szCs w:val="22"/>
          <w:u w:val="single"/>
        </w:rPr>
        <w:t>DirectConnect</w:t>
      </w:r>
    </w:p>
    <w:p w14:paraId="5FFD4128" w14:textId="77777777" w:rsidR="00D93BCF" w:rsidRPr="00780A99" w:rsidRDefault="00D93BCF" w:rsidP="00D93BCF">
      <w:pPr>
        <w:rPr>
          <w:rFonts w:ascii="Arial" w:hAnsi="Arial" w:cs="Arial"/>
          <w:sz w:val="22"/>
          <w:szCs w:val="22"/>
        </w:rPr>
      </w:pPr>
      <w:r w:rsidRPr="00780A99">
        <w:rPr>
          <w:rFonts w:ascii="Arial" w:hAnsi="Arial" w:cs="Arial"/>
          <w:sz w:val="22"/>
          <w:szCs w:val="22"/>
        </w:rPr>
        <w:t>The second scenario is to use the Application Programming Interfaces (“API’s”) that are available to developers.  In this scenario, agency or third party developers write applications that include the checkout pages.  Customers fill out all payment information within the application, and once captured, the application communicates with TPE using a standard API. TPE processes the payment, based on payment type, and returns either a success or failure code back to the calling application.  Based on the code, the calling application displays either a receipt back to the customer or the reason for the failure.  TPE supports multiple API’s including:</w:t>
      </w:r>
    </w:p>
    <w:p w14:paraId="11B982C9" w14:textId="77777777" w:rsidR="00D93BCF" w:rsidRPr="00780A99" w:rsidRDefault="00D93BCF" w:rsidP="00D93BCF">
      <w:pPr>
        <w:pStyle w:val="ListBullet"/>
        <w:rPr>
          <w:rFonts w:ascii="Arial" w:hAnsi="Arial" w:cs="Arial"/>
        </w:rPr>
      </w:pPr>
      <w:r w:rsidRPr="00780A99">
        <w:rPr>
          <w:rFonts w:ascii="Arial" w:hAnsi="Arial" w:cs="Arial"/>
        </w:rPr>
        <w:t>Java</w:t>
      </w:r>
    </w:p>
    <w:p w14:paraId="14DB180A" w14:textId="77777777" w:rsidR="00D93BCF" w:rsidRPr="00780A99" w:rsidRDefault="00D93BCF" w:rsidP="00D93BCF">
      <w:pPr>
        <w:pStyle w:val="ListBullet"/>
        <w:rPr>
          <w:rFonts w:ascii="Arial" w:hAnsi="Arial" w:cs="Arial"/>
        </w:rPr>
      </w:pPr>
      <w:r w:rsidRPr="00780A99">
        <w:rPr>
          <w:rFonts w:ascii="Arial" w:hAnsi="Arial" w:cs="Arial"/>
        </w:rPr>
        <w:t>.NET</w:t>
      </w:r>
    </w:p>
    <w:p w14:paraId="3435E1E5" w14:textId="77777777" w:rsidR="00D93BCF" w:rsidRPr="00780A99" w:rsidRDefault="00D93BCF" w:rsidP="00D93BCF">
      <w:pPr>
        <w:pStyle w:val="ListBullet"/>
        <w:rPr>
          <w:rFonts w:ascii="Arial" w:hAnsi="Arial" w:cs="Arial"/>
        </w:rPr>
      </w:pPr>
      <w:r w:rsidRPr="00780A99">
        <w:rPr>
          <w:rFonts w:ascii="Arial" w:hAnsi="Arial" w:cs="Arial"/>
        </w:rPr>
        <w:t>Perl</w:t>
      </w:r>
    </w:p>
    <w:p w14:paraId="1227D2C1" w14:textId="77777777" w:rsidR="00D93BCF" w:rsidRPr="00780A99" w:rsidRDefault="00D93BCF" w:rsidP="00D93BCF">
      <w:pPr>
        <w:pStyle w:val="ListBullet"/>
        <w:rPr>
          <w:rFonts w:ascii="Arial" w:hAnsi="Arial" w:cs="Arial"/>
        </w:rPr>
      </w:pPr>
      <w:r w:rsidRPr="00780A99">
        <w:rPr>
          <w:rFonts w:ascii="Arial" w:hAnsi="Arial" w:cs="Arial"/>
        </w:rPr>
        <w:t>PHP</w:t>
      </w:r>
    </w:p>
    <w:p w14:paraId="1CCCF14F" w14:textId="77777777" w:rsidR="00D93BCF" w:rsidRPr="00780A99" w:rsidRDefault="00D93BCF" w:rsidP="00D93BCF">
      <w:pPr>
        <w:rPr>
          <w:rFonts w:ascii="Arial" w:hAnsi="Arial" w:cs="Arial"/>
          <w:sz w:val="22"/>
          <w:szCs w:val="22"/>
        </w:rPr>
      </w:pPr>
      <w:r w:rsidRPr="00780A99">
        <w:rPr>
          <w:rFonts w:ascii="Arial" w:hAnsi="Arial" w:cs="Arial"/>
          <w:color w:val="000000"/>
          <w:sz w:val="22"/>
          <w:szCs w:val="22"/>
        </w:rPr>
        <w:br/>
        <w:t xml:space="preserve">Note: If the DirectConnect method is approved by ITS and DFA the awarded vendor must provide MSI and the State proof of their software’s (and any applicable hardware) PCI compliance. </w:t>
      </w:r>
      <w:r w:rsidRPr="00780A99">
        <w:rPr>
          <w:rFonts w:ascii="Arial" w:hAnsi="Arial" w:cs="Arial"/>
          <w:color w:val="000000"/>
          <w:sz w:val="22"/>
          <w:szCs w:val="22"/>
        </w:rPr>
        <w:br/>
      </w:r>
      <w:r w:rsidRPr="00780A99">
        <w:rPr>
          <w:rFonts w:ascii="Arial" w:hAnsi="Arial" w:cs="Arial"/>
          <w:color w:val="000000"/>
          <w:sz w:val="22"/>
          <w:szCs w:val="22"/>
        </w:rPr>
        <w:br/>
      </w:r>
      <w:r w:rsidRPr="00780A99">
        <w:rPr>
          <w:rFonts w:ascii="Arial" w:hAnsi="Arial" w:cs="Arial"/>
          <w:sz w:val="22"/>
          <w:szCs w:val="22"/>
        </w:rPr>
        <w:t>DirectConnect Integration Outline</w:t>
      </w:r>
      <w:r w:rsidRPr="00780A99">
        <w:rPr>
          <w:rFonts w:ascii="Arial" w:hAnsi="Arial" w:cs="Arial"/>
          <w:sz w:val="22"/>
          <w:szCs w:val="22"/>
        </w:rPr>
        <w:br/>
        <w:t xml:space="preserve">Before a payment can be processed inside of TPE, an </w:t>
      </w:r>
      <w:r w:rsidRPr="00780A99">
        <w:rPr>
          <w:rFonts w:ascii="Arial" w:hAnsi="Arial" w:cs="Arial"/>
          <w:i/>
          <w:iCs/>
          <w:sz w:val="22"/>
          <w:szCs w:val="22"/>
        </w:rPr>
        <w:t>Order</w:t>
      </w:r>
      <w:r w:rsidRPr="00780A99">
        <w:rPr>
          <w:rFonts w:ascii="Arial" w:hAnsi="Arial" w:cs="Arial"/>
          <w:sz w:val="22"/>
          <w:szCs w:val="22"/>
        </w:rPr>
        <w:t xml:space="preserve"> must be established.  An Order is the basic transaction container in TPE.  It is a detailed request for certain goods or services and represents all the instructions and information needed from the customer for the merchant to collect money.  An order contains information about the customer, items purchased, fees and taxes, payment information, billing address, shipping address, and so forth.</w:t>
      </w:r>
    </w:p>
    <w:p w14:paraId="7D522A34" w14:textId="77777777" w:rsidR="00D93BCF" w:rsidRPr="00780A99" w:rsidRDefault="00D93BCF" w:rsidP="00D93BCF">
      <w:pPr>
        <w:rPr>
          <w:rFonts w:ascii="Arial" w:hAnsi="Arial" w:cs="Arial"/>
          <w:sz w:val="22"/>
          <w:szCs w:val="22"/>
        </w:rPr>
      </w:pPr>
      <w:r w:rsidRPr="00780A99">
        <w:rPr>
          <w:rFonts w:ascii="Arial" w:hAnsi="Arial" w:cs="Arial"/>
          <w:sz w:val="22"/>
          <w:szCs w:val="22"/>
        </w:rPr>
        <w:t> </w:t>
      </w:r>
    </w:p>
    <w:p w14:paraId="542A0A2B" w14:textId="77777777" w:rsidR="00D93BCF" w:rsidRPr="00780A99" w:rsidRDefault="00D93BCF" w:rsidP="00D93BCF">
      <w:pPr>
        <w:rPr>
          <w:rFonts w:ascii="Arial" w:hAnsi="Arial" w:cs="Arial"/>
          <w:sz w:val="22"/>
          <w:szCs w:val="22"/>
        </w:rPr>
      </w:pPr>
      <w:r w:rsidRPr="00780A99">
        <w:rPr>
          <w:rFonts w:ascii="Arial" w:hAnsi="Arial" w:cs="Arial"/>
          <w:sz w:val="22"/>
          <w:szCs w:val="22"/>
        </w:rPr>
        <w:t xml:space="preserve">TPE uses the term </w:t>
      </w:r>
      <w:r w:rsidRPr="00780A99">
        <w:rPr>
          <w:rFonts w:ascii="Arial" w:hAnsi="Arial" w:cs="Arial"/>
          <w:i/>
          <w:iCs/>
          <w:sz w:val="22"/>
          <w:szCs w:val="22"/>
        </w:rPr>
        <w:t>order</w:t>
      </w:r>
      <w:r w:rsidRPr="00780A99">
        <w:rPr>
          <w:rFonts w:ascii="Arial" w:hAnsi="Arial" w:cs="Arial"/>
          <w:sz w:val="22"/>
          <w:szCs w:val="22"/>
        </w:rPr>
        <w:t xml:space="preserve">, along with the terms </w:t>
      </w:r>
      <w:r w:rsidRPr="00780A99">
        <w:rPr>
          <w:rFonts w:ascii="Arial" w:hAnsi="Arial" w:cs="Arial"/>
          <w:i/>
          <w:iCs/>
          <w:sz w:val="22"/>
          <w:szCs w:val="22"/>
        </w:rPr>
        <w:t xml:space="preserve">payment </w:t>
      </w:r>
      <w:r w:rsidRPr="00780A99">
        <w:rPr>
          <w:rFonts w:ascii="Arial" w:hAnsi="Arial" w:cs="Arial"/>
          <w:sz w:val="22"/>
          <w:szCs w:val="22"/>
        </w:rPr>
        <w:t xml:space="preserve">and </w:t>
      </w:r>
      <w:r w:rsidRPr="00780A99">
        <w:rPr>
          <w:rFonts w:ascii="Arial" w:hAnsi="Arial" w:cs="Arial"/>
          <w:i/>
          <w:iCs/>
          <w:sz w:val="22"/>
          <w:szCs w:val="22"/>
        </w:rPr>
        <w:t xml:space="preserve">credit </w:t>
      </w:r>
      <w:r w:rsidRPr="00780A99">
        <w:rPr>
          <w:rFonts w:ascii="Arial" w:hAnsi="Arial" w:cs="Arial"/>
          <w:sz w:val="22"/>
          <w:szCs w:val="22"/>
        </w:rPr>
        <w:t xml:space="preserve">to represent payment data for all electronic payments.  An order is created by the client application while the customer is </w:t>
      </w:r>
      <w:r w:rsidRPr="00780A99">
        <w:rPr>
          <w:rFonts w:ascii="Arial" w:hAnsi="Arial" w:cs="Arial"/>
          <w:sz w:val="22"/>
          <w:szCs w:val="22"/>
        </w:rPr>
        <w:lastRenderedPageBreak/>
        <w:t xml:space="preserve">placing an order for goods or services.  Transactions flow between the merchant and the financial institution during the life cycle of the order.  These transactions can be broken into two broad categories: </w:t>
      </w:r>
      <w:r w:rsidRPr="00780A99">
        <w:rPr>
          <w:rFonts w:ascii="Arial" w:hAnsi="Arial" w:cs="Arial"/>
          <w:i/>
          <w:iCs/>
          <w:sz w:val="22"/>
          <w:szCs w:val="22"/>
        </w:rPr>
        <w:t xml:space="preserve">payments </w:t>
      </w:r>
      <w:r w:rsidRPr="00780A99">
        <w:rPr>
          <w:rFonts w:ascii="Arial" w:hAnsi="Arial" w:cs="Arial"/>
          <w:sz w:val="22"/>
          <w:szCs w:val="22"/>
        </w:rPr>
        <w:t xml:space="preserve">(monies transferred to the merchant from the customer) and </w:t>
      </w:r>
      <w:r w:rsidRPr="00780A99">
        <w:rPr>
          <w:rFonts w:ascii="Arial" w:hAnsi="Arial" w:cs="Arial"/>
          <w:i/>
          <w:iCs/>
          <w:sz w:val="22"/>
          <w:szCs w:val="22"/>
        </w:rPr>
        <w:t xml:space="preserve">credits </w:t>
      </w:r>
      <w:r w:rsidRPr="00780A99">
        <w:rPr>
          <w:rFonts w:ascii="Arial" w:hAnsi="Arial" w:cs="Arial"/>
          <w:sz w:val="22"/>
          <w:szCs w:val="22"/>
        </w:rPr>
        <w:t>(monies returned to the customer, such as when goods or services are returned and payment is refunded).  As order processing continues, payments and credits are created and modified.</w:t>
      </w:r>
    </w:p>
    <w:p w14:paraId="6BD5086F" w14:textId="77777777" w:rsidR="00D93BCF" w:rsidRPr="00780A99" w:rsidRDefault="00D93BCF" w:rsidP="00D93BCF">
      <w:pPr>
        <w:rPr>
          <w:rFonts w:ascii="Arial" w:hAnsi="Arial" w:cs="Arial"/>
          <w:sz w:val="22"/>
          <w:szCs w:val="22"/>
        </w:rPr>
      </w:pPr>
      <w:r w:rsidRPr="00780A99">
        <w:rPr>
          <w:rFonts w:ascii="Arial" w:hAnsi="Arial" w:cs="Arial"/>
          <w:sz w:val="22"/>
          <w:szCs w:val="22"/>
        </w:rPr>
        <w:t> </w:t>
      </w:r>
    </w:p>
    <w:p w14:paraId="66B16AFB" w14:textId="77777777" w:rsidR="00D93BCF" w:rsidRPr="00780A99" w:rsidRDefault="00D93BCF" w:rsidP="00D93BCF">
      <w:pPr>
        <w:rPr>
          <w:rFonts w:ascii="Arial" w:hAnsi="Arial" w:cs="Arial"/>
          <w:sz w:val="22"/>
          <w:szCs w:val="22"/>
        </w:rPr>
      </w:pPr>
      <w:r w:rsidRPr="00780A99">
        <w:rPr>
          <w:rFonts w:ascii="Arial" w:hAnsi="Arial" w:cs="Arial"/>
          <w:sz w:val="22"/>
          <w:szCs w:val="22"/>
        </w:rPr>
        <w:t>The basic steps for creating an Order and processing a payment are as follows:</w:t>
      </w:r>
    </w:p>
    <w:p w14:paraId="3F620550" w14:textId="77777777" w:rsidR="00D93BCF" w:rsidRPr="00780A99" w:rsidRDefault="00D93BCF" w:rsidP="00D93BCF">
      <w:pPr>
        <w:rPr>
          <w:rFonts w:ascii="Arial" w:hAnsi="Arial" w:cs="Arial"/>
          <w:sz w:val="22"/>
          <w:szCs w:val="22"/>
        </w:rPr>
      </w:pPr>
      <w:r w:rsidRPr="00780A99">
        <w:rPr>
          <w:rFonts w:ascii="Arial" w:hAnsi="Arial" w:cs="Arial"/>
          <w:sz w:val="22"/>
          <w:szCs w:val="22"/>
        </w:rPr>
        <w:t> </w:t>
      </w:r>
    </w:p>
    <w:p w14:paraId="2E7297A5" w14:textId="77777777" w:rsidR="00D93BCF" w:rsidRPr="00780A99" w:rsidRDefault="00D93BCF" w:rsidP="0061377C">
      <w:pPr>
        <w:numPr>
          <w:ilvl w:val="0"/>
          <w:numId w:val="21"/>
        </w:numPr>
        <w:tabs>
          <w:tab w:val="left" w:pos="220"/>
          <w:tab w:val="left" w:pos="720"/>
        </w:tabs>
        <w:ind w:hanging="720"/>
        <w:rPr>
          <w:rFonts w:ascii="Arial" w:hAnsi="Arial" w:cs="Arial"/>
          <w:sz w:val="22"/>
          <w:szCs w:val="22"/>
        </w:rPr>
      </w:pPr>
      <w:r w:rsidRPr="00780A99">
        <w:rPr>
          <w:rFonts w:ascii="Arial" w:hAnsi="Arial" w:cs="Arial"/>
          <w:sz w:val="22"/>
          <w:szCs w:val="22"/>
        </w:rPr>
        <w:t>Submit a new Order Request to TPE.  The client application will create a request that includes a Merchant Id, a Merchant Key, and a Service Code.  These are pre-defined security parameters that are configured within TPE.  If the request is successful, TPE will return an empty order container to the client application.</w:t>
      </w:r>
    </w:p>
    <w:p w14:paraId="7D3056A6" w14:textId="77777777" w:rsidR="00D93BCF" w:rsidRPr="00780A99" w:rsidRDefault="00D93BCF" w:rsidP="0061377C">
      <w:pPr>
        <w:numPr>
          <w:ilvl w:val="0"/>
          <w:numId w:val="21"/>
        </w:numPr>
        <w:tabs>
          <w:tab w:val="left" w:pos="220"/>
          <w:tab w:val="left" w:pos="720"/>
        </w:tabs>
        <w:ind w:hanging="720"/>
        <w:rPr>
          <w:rFonts w:ascii="Arial" w:hAnsi="Arial" w:cs="Arial"/>
          <w:sz w:val="22"/>
          <w:szCs w:val="22"/>
        </w:rPr>
      </w:pPr>
      <w:r w:rsidRPr="00780A99">
        <w:rPr>
          <w:rFonts w:ascii="Arial" w:hAnsi="Arial" w:cs="Arial"/>
          <w:sz w:val="22"/>
          <w:szCs w:val="22"/>
        </w:rPr>
        <w:t>Inside of this container, the application will set the Payment Implement (Credit Card, ACH, Cash, etc.), customer payment information, billing information, transaction line items and amounts, and any other information necessary for processing the payment.</w:t>
      </w:r>
    </w:p>
    <w:p w14:paraId="427929F9" w14:textId="77777777" w:rsidR="00D93BCF" w:rsidRPr="00780A99" w:rsidRDefault="00D93BCF" w:rsidP="0061377C">
      <w:pPr>
        <w:numPr>
          <w:ilvl w:val="0"/>
          <w:numId w:val="21"/>
        </w:numPr>
        <w:tabs>
          <w:tab w:val="left" w:pos="220"/>
          <w:tab w:val="left" w:pos="720"/>
        </w:tabs>
        <w:ind w:hanging="720"/>
        <w:rPr>
          <w:rFonts w:ascii="Arial" w:hAnsi="Arial" w:cs="Arial"/>
          <w:sz w:val="22"/>
          <w:szCs w:val="22"/>
        </w:rPr>
      </w:pPr>
      <w:r w:rsidRPr="00780A99">
        <w:rPr>
          <w:rFonts w:ascii="Arial" w:hAnsi="Arial" w:cs="Arial"/>
          <w:sz w:val="22"/>
          <w:szCs w:val="22"/>
        </w:rPr>
        <w:t>Submit the Order.  Once the Order container has been filled by the calling application, it will be submitted for authorization.  TPE will do preliminary validations on the Order before submitting it to the Merchant Service Provider for authorization.  If there is an error with the Order, TPE will return that information back to client application, or it will return back that the authorization was successful.</w:t>
      </w:r>
    </w:p>
    <w:p w14:paraId="3D4BFF1D" w14:textId="77777777" w:rsidR="00D93BCF" w:rsidRPr="00780A99" w:rsidRDefault="00D93BCF" w:rsidP="0061377C">
      <w:pPr>
        <w:numPr>
          <w:ilvl w:val="0"/>
          <w:numId w:val="21"/>
        </w:numPr>
        <w:tabs>
          <w:tab w:val="left" w:pos="220"/>
          <w:tab w:val="left" w:pos="720"/>
        </w:tabs>
        <w:ind w:hanging="720"/>
        <w:rPr>
          <w:rFonts w:ascii="Arial" w:hAnsi="Arial" w:cs="Arial"/>
          <w:sz w:val="22"/>
          <w:szCs w:val="22"/>
        </w:rPr>
      </w:pPr>
      <w:r w:rsidRPr="00780A99">
        <w:rPr>
          <w:rFonts w:ascii="Arial" w:hAnsi="Arial" w:cs="Arial"/>
          <w:sz w:val="22"/>
          <w:szCs w:val="22"/>
        </w:rPr>
        <w:t>Complete the Order.  This call to TPE informs the system that the order is complete and ready to be invoiced.</w:t>
      </w:r>
    </w:p>
    <w:p w14:paraId="2786C438" w14:textId="77777777" w:rsidR="00D93BCF" w:rsidRPr="00780A99" w:rsidRDefault="00D93BCF" w:rsidP="0061377C">
      <w:pPr>
        <w:numPr>
          <w:ilvl w:val="0"/>
          <w:numId w:val="21"/>
        </w:numPr>
        <w:tabs>
          <w:tab w:val="left" w:pos="220"/>
          <w:tab w:val="left" w:pos="720"/>
        </w:tabs>
        <w:ind w:hanging="720"/>
        <w:rPr>
          <w:rFonts w:ascii="Arial" w:hAnsi="Arial" w:cs="Arial"/>
          <w:sz w:val="22"/>
          <w:szCs w:val="22"/>
        </w:rPr>
      </w:pPr>
      <w:r w:rsidRPr="00780A99">
        <w:rPr>
          <w:rFonts w:ascii="Arial" w:hAnsi="Arial" w:cs="Arial"/>
          <w:sz w:val="22"/>
          <w:szCs w:val="22"/>
        </w:rPr>
        <w:t>Invoice the Order.  This step is where money transfer (i.e., Capture) is initiated.  The invoice takes the information from the Order, and is then submitted to the Merchant Service Provider for Capture/Settlement.  </w:t>
      </w:r>
    </w:p>
    <w:p w14:paraId="78225329" w14:textId="77777777" w:rsidR="00D93BCF" w:rsidRPr="00780A99" w:rsidRDefault="00D93BCF" w:rsidP="00D93BCF">
      <w:pPr>
        <w:rPr>
          <w:rFonts w:ascii="Arial" w:hAnsi="Arial" w:cs="Arial"/>
          <w:color w:val="000000"/>
          <w:sz w:val="22"/>
          <w:szCs w:val="22"/>
        </w:rPr>
      </w:pPr>
    </w:p>
    <w:p w14:paraId="57DD3C49" w14:textId="77777777" w:rsidR="00D93BCF" w:rsidRPr="00780A99" w:rsidRDefault="00D93BCF" w:rsidP="00D93BCF">
      <w:pPr>
        <w:rPr>
          <w:rFonts w:ascii="Arial" w:hAnsi="Arial" w:cs="Arial"/>
          <w:color w:val="000000"/>
          <w:spacing w:val="-1"/>
          <w:sz w:val="22"/>
          <w:szCs w:val="22"/>
        </w:rPr>
      </w:pPr>
      <w:r w:rsidRPr="00780A99">
        <w:rPr>
          <w:rFonts w:ascii="Arial" w:hAnsi="Arial" w:cs="Arial"/>
          <w:color w:val="000000"/>
          <w:sz w:val="22"/>
          <w:szCs w:val="22"/>
        </w:rPr>
        <w:t>T</w:t>
      </w:r>
      <w:r w:rsidRPr="00780A99">
        <w:rPr>
          <w:rFonts w:ascii="Arial" w:hAnsi="Arial" w:cs="Arial"/>
          <w:color w:val="000000"/>
          <w:spacing w:val="-1"/>
          <w:sz w:val="22"/>
          <w:szCs w:val="22"/>
        </w:rPr>
        <w:t>h</w:t>
      </w:r>
      <w:r w:rsidRPr="00780A99">
        <w:rPr>
          <w:rFonts w:ascii="Arial" w:hAnsi="Arial" w:cs="Arial"/>
          <w:color w:val="000000"/>
          <w:sz w:val="22"/>
          <w:szCs w:val="22"/>
        </w:rPr>
        <w:t>e</w:t>
      </w:r>
      <w:r w:rsidRPr="00780A99">
        <w:rPr>
          <w:rFonts w:ascii="Arial" w:hAnsi="Arial" w:cs="Arial"/>
          <w:color w:val="000000"/>
          <w:spacing w:val="1"/>
          <w:sz w:val="22"/>
          <w:szCs w:val="22"/>
        </w:rPr>
        <w:t xml:space="preserve"> </w:t>
      </w:r>
      <w:r w:rsidRPr="00780A99">
        <w:rPr>
          <w:rFonts w:ascii="Arial" w:hAnsi="Arial" w:cs="Arial"/>
          <w:color w:val="000000"/>
          <w:spacing w:val="-3"/>
          <w:sz w:val="22"/>
          <w:szCs w:val="22"/>
        </w:rPr>
        <w:t>f</w:t>
      </w:r>
      <w:r w:rsidRPr="00780A99">
        <w:rPr>
          <w:rFonts w:ascii="Arial" w:hAnsi="Arial" w:cs="Arial"/>
          <w:color w:val="000000"/>
          <w:spacing w:val="1"/>
          <w:sz w:val="22"/>
          <w:szCs w:val="22"/>
        </w:rPr>
        <w:t>o</w:t>
      </w:r>
      <w:r w:rsidRPr="00780A99">
        <w:rPr>
          <w:rFonts w:ascii="Arial" w:hAnsi="Arial" w:cs="Arial"/>
          <w:color w:val="000000"/>
          <w:sz w:val="22"/>
          <w:szCs w:val="22"/>
        </w:rPr>
        <w:t>ll</w:t>
      </w:r>
      <w:r w:rsidRPr="00780A99">
        <w:rPr>
          <w:rFonts w:ascii="Arial" w:hAnsi="Arial" w:cs="Arial"/>
          <w:color w:val="000000"/>
          <w:spacing w:val="-1"/>
          <w:sz w:val="22"/>
          <w:szCs w:val="22"/>
        </w:rPr>
        <w:t>o</w:t>
      </w:r>
      <w:r w:rsidRPr="00780A99">
        <w:rPr>
          <w:rFonts w:ascii="Arial" w:hAnsi="Arial" w:cs="Arial"/>
          <w:color w:val="000000"/>
          <w:sz w:val="22"/>
          <w:szCs w:val="22"/>
        </w:rPr>
        <w:t>wi</w:t>
      </w:r>
      <w:r w:rsidRPr="00780A99">
        <w:rPr>
          <w:rFonts w:ascii="Arial" w:hAnsi="Arial" w:cs="Arial"/>
          <w:color w:val="000000"/>
          <w:spacing w:val="-1"/>
          <w:sz w:val="22"/>
          <w:szCs w:val="22"/>
        </w:rPr>
        <w:t>n</w:t>
      </w:r>
      <w:r w:rsidRPr="00780A99">
        <w:rPr>
          <w:rFonts w:ascii="Arial" w:hAnsi="Arial" w:cs="Arial"/>
          <w:color w:val="000000"/>
          <w:sz w:val="22"/>
          <w:szCs w:val="22"/>
        </w:rPr>
        <w:t>g fi</w:t>
      </w:r>
      <w:r w:rsidRPr="00780A99">
        <w:rPr>
          <w:rFonts w:ascii="Arial" w:hAnsi="Arial" w:cs="Arial"/>
          <w:color w:val="000000"/>
          <w:spacing w:val="-1"/>
          <w:sz w:val="22"/>
          <w:szCs w:val="22"/>
        </w:rPr>
        <w:t>gu</w:t>
      </w:r>
      <w:r w:rsidRPr="00780A99">
        <w:rPr>
          <w:rFonts w:ascii="Arial" w:hAnsi="Arial" w:cs="Arial"/>
          <w:color w:val="000000"/>
          <w:sz w:val="22"/>
          <w:szCs w:val="22"/>
        </w:rPr>
        <w:t>re</w:t>
      </w:r>
      <w:r w:rsidRPr="00780A99">
        <w:rPr>
          <w:rFonts w:ascii="Arial" w:hAnsi="Arial" w:cs="Arial"/>
          <w:color w:val="000000"/>
          <w:spacing w:val="1"/>
          <w:sz w:val="22"/>
          <w:szCs w:val="22"/>
        </w:rPr>
        <w:t xml:space="preserve"> o</w:t>
      </w:r>
      <w:r w:rsidRPr="00780A99">
        <w:rPr>
          <w:rFonts w:ascii="Arial" w:hAnsi="Arial" w:cs="Arial"/>
          <w:color w:val="000000"/>
          <w:spacing w:val="-3"/>
          <w:sz w:val="22"/>
          <w:szCs w:val="22"/>
        </w:rPr>
        <w:t>u</w:t>
      </w:r>
      <w:r w:rsidRPr="00780A99">
        <w:rPr>
          <w:rFonts w:ascii="Arial" w:hAnsi="Arial" w:cs="Arial"/>
          <w:color w:val="000000"/>
          <w:sz w:val="22"/>
          <w:szCs w:val="22"/>
        </w:rPr>
        <w:t>tli</w:t>
      </w:r>
      <w:r w:rsidRPr="00780A99">
        <w:rPr>
          <w:rFonts w:ascii="Arial" w:hAnsi="Arial" w:cs="Arial"/>
          <w:color w:val="000000"/>
          <w:spacing w:val="-1"/>
          <w:sz w:val="22"/>
          <w:szCs w:val="22"/>
        </w:rPr>
        <w:t>n</w:t>
      </w:r>
      <w:r w:rsidRPr="00780A99">
        <w:rPr>
          <w:rFonts w:ascii="Arial" w:hAnsi="Arial" w:cs="Arial"/>
          <w:color w:val="000000"/>
          <w:spacing w:val="1"/>
          <w:sz w:val="22"/>
          <w:szCs w:val="22"/>
        </w:rPr>
        <w:t>e</w:t>
      </w:r>
      <w:r w:rsidRPr="00780A99">
        <w:rPr>
          <w:rFonts w:ascii="Arial" w:hAnsi="Arial" w:cs="Arial"/>
          <w:color w:val="000000"/>
          <w:sz w:val="22"/>
          <w:szCs w:val="22"/>
        </w:rPr>
        <w:t>s</w:t>
      </w:r>
      <w:r w:rsidRPr="00780A99">
        <w:rPr>
          <w:rFonts w:ascii="Arial" w:hAnsi="Arial" w:cs="Arial"/>
          <w:color w:val="000000"/>
          <w:spacing w:val="1"/>
          <w:sz w:val="22"/>
          <w:szCs w:val="22"/>
        </w:rPr>
        <w:t xml:space="preserve"> </w:t>
      </w:r>
      <w:r w:rsidRPr="00780A99">
        <w:rPr>
          <w:rFonts w:ascii="Arial" w:hAnsi="Arial" w:cs="Arial"/>
          <w:color w:val="000000"/>
          <w:sz w:val="22"/>
          <w:szCs w:val="22"/>
        </w:rPr>
        <w:t xml:space="preserve">a </w:t>
      </w:r>
      <w:r w:rsidRPr="00780A99">
        <w:rPr>
          <w:rFonts w:ascii="Arial" w:hAnsi="Arial" w:cs="Arial"/>
          <w:color w:val="000000"/>
          <w:spacing w:val="-2"/>
          <w:sz w:val="22"/>
          <w:szCs w:val="22"/>
        </w:rPr>
        <w:t>t</w:t>
      </w:r>
      <w:r w:rsidRPr="00780A99">
        <w:rPr>
          <w:rFonts w:ascii="Arial" w:hAnsi="Arial" w:cs="Arial"/>
          <w:color w:val="000000"/>
          <w:spacing w:val="1"/>
          <w:sz w:val="22"/>
          <w:szCs w:val="22"/>
        </w:rPr>
        <w:t>y</w:t>
      </w:r>
      <w:r w:rsidRPr="00780A99">
        <w:rPr>
          <w:rFonts w:ascii="Arial" w:hAnsi="Arial" w:cs="Arial"/>
          <w:color w:val="000000"/>
          <w:spacing w:val="-1"/>
          <w:sz w:val="22"/>
          <w:szCs w:val="22"/>
        </w:rPr>
        <w:t>p</w:t>
      </w:r>
      <w:r w:rsidRPr="00780A99">
        <w:rPr>
          <w:rFonts w:ascii="Arial" w:hAnsi="Arial" w:cs="Arial"/>
          <w:color w:val="000000"/>
          <w:sz w:val="22"/>
          <w:szCs w:val="22"/>
        </w:rPr>
        <w:t xml:space="preserve">ical </w:t>
      </w:r>
      <w:r w:rsidRPr="00780A99">
        <w:rPr>
          <w:rFonts w:ascii="Arial" w:hAnsi="Arial" w:cs="Arial"/>
          <w:color w:val="000000"/>
          <w:spacing w:val="-1"/>
          <w:sz w:val="22"/>
          <w:szCs w:val="22"/>
        </w:rPr>
        <w:t>p</w:t>
      </w:r>
      <w:r w:rsidRPr="00780A99">
        <w:rPr>
          <w:rFonts w:ascii="Arial" w:hAnsi="Arial" w:cs="Arial"/>
          <w:color w:val="000000"/>
          <w:spacing w:val="-3"/>
          <w:sz w:val="22"/>
          <w:szCs w:val="22"/>
        </w:rPr>
        <w:t>r</w:t>
      </w:r>
      <w:r w:rsidRPr="00780A99">
        <w:rPr>
          <w:rFonts w:ascii="Arial" w:hAnsi="Arial" w:cs="Arial"/>
          <w:color w:val="000000"/>
          <w:spacing w:val="1"/>
          <w:sz w:val="22"/>
          <w:szCs w:val="22"/>
        </w:rPr>
        <w:t>o</w:t>
      </w:r>
      <w:r w:rsidRPr="00780A99">
        <w:rPr>
          <w:rFonts w:ascii="Arial" w:hAnsi="Arial" w:cs="Arial"/>
          <w:color w:val="000000"/>
          <w:sz w:val="22"/>
          <w:szCs w:val="22"/>
        </w:rPr>
        <w:t>c</w:t>
      </w:r>
      <w:r w:rsidRPr="00780A99">
        <w:rPr>
          <w:rFonts w:ascii="Arial" w:hAnsi="Arial" w:cs="Arial"/>
          <w:color w:val="000000"/>
          <w:spacing w:val="-2"/>
          <w:sz w:val="22"/>
          <w:szCs w:val="22"/>
        </w:rPr>
        <w:t>e</w:t>
      </w:r>
      <w:r w:rsidRPr="00780A99">
        <w:rPr>
          <w:rFonts w:ascii="Arial" w:hAnsi="Arial" w:cs="Arial"/>
          <w:color w:val="000000"/>
          <w:sz w:val="22"/>
          <w:szCs w:val="22"/>
        </w:rPr>
        <w:t>ss</w:t>
      </w:r>
      <w:r w:rsidRPr="00780A99">
        <w:rPr>
          <w:rFonts w:ascii="Arial" w:hAnsi="Arial" w:cs="Arial"/>
          <w:color w:val="000000"/>
          <w:spacing w:val="1"/>
          <w:sz w:val="22"/>
          <w:szCs w:val="22"/>
        </w:rPr>
        <w:t xml:space="preserve"> </w:t>
      </w:r>
      <w:r w:rsidRPr="00780A99">
        <w:rPr>
          <w:rFonts w:ascii="Arial" w:hAnsi="Arial" w:cs="Arial"/>
          <w:color w:val="000000"/>
          <w:sz w:val="22"/>
          <w:szCs w:val="22"/>
        </w:rPr>
        <w:t>f</w:t>
      </w:r>
      <w:r w:rsidRPr="00780A99">
        <w:rPr>
          <w:rFonts w:ascii="Arial" w:hAnsi="Arial" w:cs="Arial"/>
          <w:color w:val="000000"/>
          <w:spacing w:val="-3"/>
          <w:sz w:val="22"/>
          <w:szCs w:val="22"/>
        </w:rPr>
        <w:t>l</w:t>
      </w:r>
      <w:r w:rsidRPr="00780A99">
        <w:rPr>
          <w:rFonts w:ascii="Arial" w:hAnsi="Arial" w:cs="Arial"/>
          <w:color w:val="000000"/>
          <w:spacing w:val="1"/>
          <w:sz w:val="22"/>
          <w:szCs w:val="22"/>
        </w:rPr>
        <w:t>o</w:t>
      </w:r>
      <w:r w:rsidRPr="00780A99">
        <w:rPr>
          <w:rFonts w:ascii="Arial" w:hAnsi="Arial" w:cs="Arial"/>
          <w:color w:val="000000"/>
          <w:sz w:val="22"/>
          <w:szCs w:val="22"/>
        </w:rPr>
        <w:t>w</w:t>
      </w:r>
      <w:r w:rsidRPr="00780A99">
        <w:rPr>
          <w:rFonts w:ascii="Arial" w:hAnsi="Arial" w:cs="Arial"/>
          <w:color w:val="000000"/>
          <w:spacing w:val="1"/>
          <w:sz w:val="22"/>
          <w:szCs w:val="22"/>
        </w:rPr>
        <w:t xml:space="preserve"> </w:t>
      </w:r>
      <w:r w:rsidRPr="00780A99">
        <w:rPr>
          <w:rFonts w:ascii="Arial" w:hAnsi="Arial" w:cs="Arial"/>
          <w:color w:val="000000"/>
          <w:spacing w:val="-3"/>
          <w:sz w:val="22"/>
          <w:szCs w:val="22"/>
        </w:rPr>
        <w:t>f</w:t>
      </w:r>
      <w:r w:rsidRPr="00780A99">
        <w:rPr>
          <w:rFonts w:ascii="Arial" w:hAnsi="Arial" w:cs="Arial"/>
          <w:color w:val="000000"/>
          <w:spacing w:val="-1"/>
          <w:sz w:val="22"/>
          <w:szCs w:val="22"/>
        </w:rPr>
        <w:t>o</w:t>
      </w:r>
      <w:r w:rsidRPr="00780A99">
        <w:rPr>
          <w:rFonts w:ascii="Arial" w:hAnsi="Arial" w:cs="Arial"/>
          <w:color w:val="000000"/>
          <w:sz w:val="22"/>
          <w:szCs w:val="22"/>
        </w:rPr>
        <w:t>r a Direct Connect</w:t>
      </w:r>
      <w:r w:rsidRPr="00780A99">
        <w:rPr>
          <w:rFonts w:ascii="Arial" w:hAnsi="Arial" w:cs="Arial"/>
          <w:color w:val="000000"/>
          <w:spacing w:val="2"/>
          <w:sz w:val="22"/>
          <w:szCs w:val="22"/>
        </w:rPr>
        <w:t xml:space="preserve"> </w:t>
      </w:r>
      <w:r w:rsidRPr="00780A99">
        <w:rPr>
          <w:rFonts w:ascii="Arial" w:hAnsi="Arial" w:cs="Arial"/>
          <w:color w:val="000000"/>
          <w:sz w:val="22"/>
          <w:szCs w:val="22"/>
        </w:rPr>
        <w:t>tra</w:t>
      </w:r>
      <w:r w:rsidRPr="00780A99">
        <w:rPr>
          <w:rFonts w:ascii="Arial" w:hAnsi="Arial" w:cs="Arial"/>
          <w:color w:val="000000"/>
          <w:spacing w:val="-1"/>
          <w:sz w:val="22"/>
          <w:szCs w:val="22"/>
        </w:rPr>
        <w:t>n</w:t>
      </w:r>
      <w:r w:rsidRPr="00780A99">
        <w:rPr>
          <w:rFonts w:ascii="Arial" w:hAnsi="Arial" w:cs="Arial"/>
          <w:color w:val="000000"/>
          <w:sz w:val="22"/>
          <w:szCs w:val="22"/>
        </w:rPr>
        <w:t>s</w:t>
      </w:r>
      <w:r w:rsidRPr="00780A99">
        <w:rPr>
          <w:rFonts w:ascii="Arial" w:hAnsi="Arial" w:cs="Arial"/>
          <w:color w:val="000000"/>
          <w:spacing w:val="-3"/>
          <w:sz w:val="22"/>
          <w:szCs w:val="22"/>
        </w:rPr>
        <w:t>a</w:t>
      </w:r>
      <w:r w:rsidRPr="00780A99">
        <w:rPr>
          <w:rFonts w:ascii="Arial" w:hAnsi="Arial" w:cs="Arial"/>
          <w:color w:val="000000"/>
          <w:sz w:val="22"/>
          <w:szCs w:val="22"/>
        </w:rPr>
        <w:t>cti</w:t>
      </w:r>
      <w:r w:rsidRPr="00780A99">
        <w:rPr>
          <w:rFonts w:ascii="Arial" w:hAnsi="Arial" w:cs="Arial"/>
          <w:color w:val="000000"/>
          <w:spacing w:val="1"/>
          <w:sz w:val="22"/>
          <w:szCs w:val="22"/>
        </w:rPr>
        <w:t>o</w:t>
      </w:r>
      <w:r w:rsidRPr="00780A99">
        <w:rPr>
          <w:rFonts w:ascii="Arial" w:hAnsi="Arial" w:cs="Arial"/>
          <w:color w:val="000000"/>
          <w:spacing w:val="-1"/>
          <w:sz w:val="22"/>
          <w:szCs w:val="22"/>
        </w:rPr>
        <w:t>n.</w:t>
      </w:r>
      <w:r w:rsidRPr="00780A99">
        <w:rPr>
          <w:rFonts w:ascii="Arial" w:hAnsi="Arial" w:cs="Arial"/>
          <w:sz w:val="22"/>
          <w:szCs w:val="22"/>
        </w:rPr>
        <w:br/>
      </w:r>
      <w:r w:rsidRPr="00780A99">
        <w:rPr>
          <w:rFonts w:ascii="Arial" w:hAnsi="Arial" w:cs="Arial"/>
          <w:sz w:val="22"/>
          <w:szCs w:val="22"/>
        </w:rPr>
        <w:tab/>
      </w:r>
    </w:p>
    <w:p w14:paraId="5D5EA80A" w14:textId="77777777" w:rsidR="00D93BCF" w:rsidRPr="00780A99" w:rsidRDefault="00D93BCF" w:rsidP="00D93BCF">
      <w:pPr>
        <w:jc w:val="center"/>
        <w:rPr>
          <w:sz w:val="22"/>
          <w:szCs w:val="22"/>
        </w:rPr>
      </w:pPr>
      <w:r w:rsidRPr="00780A99">
        <w:rPr>
          <w:noProof/>
        </w:rPr>
        <w:lastRenderedPageBreak/>
        <w:drawing>
          <wp:inline distT="0" distB="0" distL="0" distR="0" wp14:anchorId="69A6629E" wp14:editId="2F223219">
            <wp:extent cx="3969033" cy="3754120"/>
            <wp:effectExtent l="0" t="0" r="0" b="5080"/>
            <wp:docPr id="10" name="Picture 7" descr="Description: Web Service transact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eb Service transaction flow.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69066" cy="3754151"/>
                    </a:xfrm>
                    <a:prstGeom prst="rect">
                      <a:avLst/>
                    </a:prstGeom>
                    <a:noFill/>
                    <a:ln>
                      <a:noFill/>
                    </a:ln>
                  </pic:spPr>
                </pic:pic>
              </a:graphicData>
            </a:graphic>
          </wp:inline>
        </w:drawing>
      </w:r>
    </w:p>
    <w:p w14:paraId="13617A93" w14:textId="77777777" w:rsidR="00D93BCF" w:rsidRPr="00780A99" w:rsidRDefault="00D93BCF" w:rsidP="00D93BCF">
      <w:pPr>
        <w:rPr>
          <w:sz w:val="22"/>
          <w:szCs w:val="22"/>
        </w:rPr>
      </w:pPr>
    </w:p>
    <w:p w14:paraId="1DA8254F" w14:textId="77777777" w:rsidR="00D93BCF" w:rsidRPr="00780A99" w:rsidRDefault="00D93BCF" w:rsidP="00D93BCF">
      <w:pPr>
        <w:rPr>
          <w:rFonts w:ascii="Arial" w:hAnsi="Arial" w:cs="Arial"/>
          <w:sz w:val="22"/>
          <w:szCs w:val="22"/>
        </w:rPr>
      </w:pPr>
      <w:r w:rsidRPr="00780A99">
        <w:rPr>
          <w:rFonts w:ascii="Arial" w:hAnsi="Arial" w:cs="Arial"/>
          <w:sz w:val="22"/>
          <w:szCs w:val="22"/>
        </w:rPr>
        <w:t>Charges Table Connection</w:t>
      </w:r>
      <w:r w:rsidRPr="00780A99">
        <w:rPr>
          <w:rFonts w:ascii="Arial" w:hAnsi="Arial" w:cs="Arial"/>
          <w:sz w:val="22"/>
          <w:szCs w:val="22"/>
        </w:rPr>
        <w:br/>
        <w:t>The Mississippi Department of Information Technology Services (ITS) has developed the Mississippi Charges Web Service to supply application programs with data from the charges table. This data is required by the Agency application to build a valid MSI electronic payment request. The item type, item description, and item cost, for each item sold, must be submitted in the transaction request for payment authorization.</w:t>
      </w:r>
    </w:p>
    <w:p w14:paraId="56ABFB40" w14:textId="77777777" w:rsidR="00D93BCF" w:rsidRPr="00780A99" w:rsidRDefault="00D93BCF" w:rsidP="00D93BCF">
      <w:pPr>
        <w:rPr>
          <w:rFonts w:ascii="Arial" w:hAnsi="Arial" w:cs="Arial"/>
          <w:sz w:val="22"/>
          <w:szCs w:val="22"/>
        </w:rPr>
      </w:pPr>
    </w:p>
    <w:p w14:paraId="1ED29EE4" w14:textId="77777777" w:rsidR="00D93BCF" w:rsidRPr="00780A99" w:rsidRDefault="00D93BCF" w:rsidP="00D93BCF">
      <w:pPr>
        <w:rPr>
          <w:rFonts w:ascii="Arial" w:hAnsi="Arial" w:cs="Arial"/>
          <w:sz w:val="22"/>
          <w:szCs w:val="22"/>
        </w:rPr>
      </w:pPr>
      <w:r w:rsidRPr="00780A99">
        <w:rPr>
          <w:rFonts w:ascii="Arial" w:hAnsi="Arial" w:cs="Arial"/>
          <w:b/>
          <w:bCs/>
          <w:sz w:val="22"/>
          <w:szCs w:val="22"/>
        </w:rPr>
        <w:t>Service Use</w:t>
      </w:r>
    </w:p>
    <w:p w14:paraId="1126661A" w14:textId="77777777" w:rsidR="00D93BCF" w:rsidRPr="00780A99" w:rsidRDefault="00D93BCF" w:rsidP="00D93BCF">
      <w:pPr>
        <w:rPr>
          <w:rFonts w:ascii="Arial" w:hAnsi="Arial" w:cs="Arial"/>
          <w:sz w:val="22"/>
          <w:szCs w:val="22"/>
        </w:rPr>
      </w:pPr>
      <w:r w:rsidRPr="00780A99">
        <w:rPr>
          <w:rFonts w:ascii="Arial" w:hAnsi="Arial" w:cs="Arial"/>
          <w:sz w:val="22"/>
          <w:szCs w:val="22"/>
        </w:rPr>
        <w:t>The primary purpose of the web service is to provide the charges data for a requested application. The method that performs this function is getCurrentCharges and requires a chargesInput object as the input parameter. A getCurrentChargesResponse object is returned. </w:t>
      </w:r>
    </w:p>
    <w:p w14:paraId="09279BAF" w14:textId="77777777" w:rsidR="00D93BCF" w:rsidRPr="00780A99" w:rsidRDefault="00D93BCF" w:rsidP="0061377C">
      <w:pPr>
        <w:pStyle w:val="ListParagraph"/>
        <w:widowControl w:val="0"/>
        <w:numPr>
          <w:ilvl w:val="0"/>
          <w:numId w:val="23"/>
        </w:numPr>
        <w:autoSpaceDE w:val="0"/>
        <w:autoSpaceDN w:val="0"/>
        <w:adjustRightInd w:val="0"/>
        <w:rPr>
          <w:rFonts w:ascii="Arial" w:hAnsi="Arial" w:cs="Arial"/>
        </w:rPr>
      </w:pPr>
      <w:r w:rsidRPr="00780A99">
        <w:rPr>
          <w:rFonts w:ascii="Arial" w:hAnsi="Arial" w:cs="Arial"/>
        </w:rPr>
        <w:t>getCurrentCharges(chargesInput) </w:t>
      </w:r>
    </w:p>
    <w:p w14:paraId="4F8C50CE" w14:textId="77777777" w:rsidR="00D93BCF" w:rsidRPr="00780A99" w:rsidRDefault="00D93BCF" w:rsidP="00D93BCF">
      <w:pPr>
        <w:rPr>
          <w:rFonts w:ascii="Arial" w:hAnsi="Arial" w:cs="Arial"/>
          <w:sz w:val="22"/>
          <w:szCs w:val="22"/>
        </w:rPr>
      </w:pPr>
      <w:r w:rsidRPr="00780A99">
        <w:rPr>
          <w:rFonts w:ascii="Arial" w:hAnsi="Arial" w:cs="Arial"/>
          <w:sz w:val="22"/>
          <w:szCs w:val="22"/>
        </w:rPr>
        <w:br/>
        <w:t>DFA updates the charges table each night just before midnight. The agency application is responsible for obtaining and using the current charges information. Good practice is to obtain the charges data at least daily.</w:t>
      </w:r>
    </w:p>
    <w:p w14:paraId="5504CC92" w14:textId="77777777" w:rsidR="00D93BCF" w:rsidRPr="00780A99" w:rsidRDefault="00D93BCF" w:rsidP="00D93BCF">
      <w:pPr>
        <w:rPr>
          <w:rFonts w:ascii="Arial" w:hAnsi="Arial" w:cs="Arial"/>
          <w:sz w:val="22"/>
          <w:szCs w:val="22"/>
          <w:u w:val="single"/>
        </w:rPr>
      </w:pPr>
    </w:p>
    <w:p w14:paraId="3428DFCC" w14:textId="77777777" w:rsidR="00D93BCF" w:rsidRPr="00780A99" w:rsidRDefault="00D93BCF" w:rsidP="00D93BCF">
      <w:pPr>
        <w:rPr>
          <w:rFonts w:ascii="Arial" w:hAnsi="Arial" w:cs="Arial"/>
          <w:sz w:val="22"/>
          <w:szCs w:val="22"/>
          <w:u w:val="single"/>
        </w:rPr>
      </w:pPr>
      <w:r w:rsidRPr="00780A99">
        <w:rPr>
          <w:rFonts w:ascii="Arial" w:hAnsi="Arial" w:cs="Arial"/>
          <w:iCs/>
          <w:sz w:val="22"/>
          <w:szCs w:val="22"/>
          <w:u w:val="single"/>
        </w:rPr>
        <w:t>Charges Use in MSI Common Checkout</w:t>
      </w:r>
    </w:p>
    <w:p w14:paraId="1F1E5806" w14:textId="77777777" w:rsidR="00D93BCF" w:rsidRPr="00780A99" w:rsidRDefault="00D93BCF" w:rsidP="00D93BCF">
      <w:pPr>
        <w:rPr>
          <w:rFonts w:ascii="Arial" w:hAnsi="Arial" w:cs="Arial"/>
          <w:sz w:val="22"/>
          <w:szCs w:val="22"/>
        </w:rPr>
      </w:pPr>
      <w:r w:rsidRPr="00780A99">
        <w:rPr>
          <w:rFonts w:ascii="Arial" w:hAnsi="Arial" w:cs="Arial"/>
          <w:sz w:val="22"/>
          <w:szCs w:val="22"/>
        </w:rPr>
        <w:t>The ChargeItem data will become the basis for a line item that is sent to the CCP in the Prepare Checkout call. The table below maps the line item fields referenced in the CCP interface to their related ChargeItem value. In the CCP Prepare Checkout service call, line items are sent in as an array of lineItems.</w:t>
      </w:r>
    </w:p>
    <w:p w14:paraId="6A239985" w14:textId="77777777" w:rsidR="00D93BCF" w:rsidRPr="00760B25" w:rsidRDefault="00D93BCF" w:rsidP="00D93BCF">
      <w:pPr>
        <w:jc w:val="center"/>
        <w:rPr>
          <w:sz w:val="22"/>
          <w:szCs w:val="22"/>
        </w:rPr>
      </w:pPr>
      <w:r w:rsidRPr="00780A99">
        <w:rPr>
          <w:sz w:val="22"/>
          <w:szCs w:val="22"/>
        </w:rPr>
        <w:br/>
      </w:r>
      <w:r w:rsidRPr="00780A99">
        <w:rPr>
          <w:noProof/>
          <w:sz w:val="22"/>
          <w:szCs w:val="22"/>
        </w:rPr>
        <w:lastRenderedPageBreak/>
        <w:drawing>
          <wp:inline distT="0" distB="0" distL="0" distR="0" wp14:anchorId="4DE8B5BC" wp14:editId="7390C02A">
            <wp:extent cx="4873622" cy="1143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75840" cy="1143520"/>
                    </a:xfrm>
                    <a:prstGeom prst="rect">
                      <a:avLst/>
                    </a:prstGeom>
                    <a:noFill/>
                    <a:ln>
                      <a:noFill/>
                    </a:ln>
                  </pic:spPr>
                </pic:pic>
              </a:graphicData>
            </a:graphic>
          </wp:inline>
        </w:drawing>
      </w:r>
    </w:p>
    <w:p w14:paraId="72C57E1F" w14:textId="77777777" w:rsidR="00D93BCF" w:rsidRPr="00760B25" w:rsidRDefault="00D93BCF" w:rsidP="00D93BCF">
      <w:pPr>
        <w:rPr>
          <w:sz w:val="22"/>
          <w:szCs w:val="22"/>
        </w:rPr>
      </w:pPr>
    </w:p>
    <w:p w14:paraId="1D84604D" w14:textId="77777777" w:rsidR="00D93BCF" w:rsidRPr="00760B25" w:rsidRDefault="00D93BCF" w:rsidP="00D93BCF">
      <w:pPr>
        <w:rPr>
          <w:sz w:val="22"/>
          <w:szCs w:val="22"/>
        </w:rPr>
      </w:pPr>
    </w:p>
    <w:p w14:paraId="7A6F3952" w14:textId="77777777" w:rsidR="00D93BCF" w:rsidRPr="00AE2C65" w:rsidRDefault="00D93BCF" w:rsidP="00D93BCF">
      <w:pPr>
        <w:rPr>
          <w:rFonts w:ascii="Arial" w:hAnsi="Arial" w:cs="Arial"/>
          <w:b/>
          <w:sz w:val="22"/>
          <w:szCs w:val="22"/>
        </w:rPr>
      </w:pPr>
    </w:p>
    <w:p w14:paraId="17F6E658" w14:textId="77777777" w:rsidR="00BF6B07" w:rsidRPr="003560BD" w:rsidRDefault="00BF6B07">
      <w:pPr>
        <w:rPr>
          <w:rFonts w:ascii="Arial" w:hAnsi="Arial" w:cs="Arial"/>
          <w:sz w:val="22"/>
          <w:szCs w:val="22"/>
        </w:rPr>
      </w:pPr>
    </w:p>
    <w:sectPr w:rsidR="00BF6B07" w:rsidRPr="003560BD" w:rsidSect="009F2135">
      <w:headerReference w:type="default" r:id="rId46"/>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260E" w14:textId="77777777" w:rsidR="00D37800" w:rsidRDefault="00D37800">
      <w:r>
        <w:separator/>
      </w:r>
    </w:p>
  </w:endnote>
  <w:endnote w:type="continuationSeparator" w:id="0">
    <w:p w14:paraId="301B2576" w14:textId="77777777" w:rsidR="00D37800" w:rsidRDefault="00D3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41AB" w14:textId="77777777" w:rsidR="00D37800" w:rsidRDefault="00D37800"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0176A" w14:textId="77777777" w:rsidR="00D37800" w:rsidRDefault="00D37800"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AD5E" w14:textId="1E464568" w:rsidR="00D37800" w:rsidRPr="00D467C2" w:rsidRDefault="00D37800">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974D97">
      <w:rPr>
        <w:rFonts w:ascii="Arial" w:hAnsi="Arial" w:cs="Arial"/>
        <w:noProof/>
        <w:sz w:val="20"/>
        <w:szCs w:val="20"/>
      </w:rPr>
      <w:t>22</w:t>
    </w:r>
    <w:r w:rsidRPr="00D467C2">
      <w:rPr>
        <w:rFonts w:ascii="Arial" w:hAnsi="Arial" w:cs="Arial"/>
        <w:sz w:val="20"/>
        <w:szCs w:val="20"/>
      </w:rPr>
      <w:fldChar w:fldCharType="end"/>
    </w:r>
  </w:p>
  <w:p w14:paraId="1589BFA0" w14:textId="77777777" w:rsidR="00D37800" w:rsidRPr="00497B2D" w:rsidRDefault="00D37800"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7030" w14:textId="77777777" w:rsidR="00D37800" w:rsidRDefault="00D37800"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7A3A" w14:textId="493EFCEA" w:rsidR="00D37800" w:rsidRPr="004E3357" w:rsidRDefault="00D37800">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974D97">
      <w:rPr>
        <w:rFonts w:ascii="Arial" w:hAnsi="Arial" w:cs="Arial"/>
        <w:noProof/>
        <w:sz w:val="20"/>
        <w:szCs w:val="20"/>
      </w:rPr>
      <w:t>2</w:t>
    </w:r>
    <w:r w:rsidRPr="004E3357">
      <w:rPr>
        <w:rFonts w:ascii="Arial" w:hAnsi="Arial" w:cs="Arial"/>
        <w:sz w:val="20"/>
        <w:szCs w:val="20"/>
      </w:rPr>
      <w:fldChar w:fldCharType="end"/>
    </w:r>
  </w:p>
  <w:p w14:paraId="71A1C96D" w14:textId="77777777" w:rsidR="00D37800" w:rsidRDefault="00D37800"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D3C3C" w14:textId="77777777" w:rsidR="00D37800" w:rsidRDefault="00D37800">
      <w:r>
        <w:separator/>
      </w:r>
    </w:p>
  </w:footnote>
  <w:footnote w:type="continuationSeparator" w:id="0">
    <w:p w14:paraId="39EE9D25" w14:textId="77777777" w:rsidR="00D37800" w:rsidRDefault="00D3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B625" w14:textId="6EEE3310" w:rsidR="00D37800" w:rsidRPr="0010578E" w:rsidRDefault="00D37800"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974D97" w:rsidRPr="00974D97">
      <w:rPr>
        <w:b/>
        <w:bCs/>
        <w:i/>
        <w:iCs/>
        <w:sz w:val="18"/>
        <w:szCs w:val="18"/>
      </w:rPr>
      <w:t>3935</w:t>
    </w:r>
    <w:r w:rsidRPr="0010578E">
      <w:rPr>
        <w:i/>
        <w:iCs/>
        <w:sz w:val="18"/>
        <w:szCs w:val="18"/>
      </w:rPr>
      <w:fldChar w:fldCharType="end"/>
    </w:r>
  </w:p>
  <w:p w14:paraId="64B79B55" w14:textId="77777777" w:rsidR="00D37800" w:rsidRPr="0010578E" w:rsidRDefault="00D37800" w:rsidP="00BF6B07">
    <w:pPr>
      <w:pStyle w:val="Header2"/>
      <w:rPr>
        <w:sz w:val="18"/>
        <w:szCs w:val="18"/>
      </w:rPr>
    </w:pPr>
    <w:r w:rsidRPr="0010578E">
      <w:rPr>
        <w:sz w:val="18"/>
        <w:szCs w:val="18"/>
      </w:rPr>
      <w:t xml:space="preserve">RFP Checklist </w:t>
    </w:r>
  </w:p>
  <w:p w14:paraId="72CEE950" w14:textId="46C122B5" w:rsidR="00D37800" w:rsidRPr="0010578E" w:rsidRDefault="00D37800"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974D97" w:rsidRPr="00974D97">
      <w:rPr>
        <w:sz w:val="18"/>
        <w:szCs w:val="18"/>
      </w:rPr>
      <w:t>42752</w:t>
    </w:r>
    <w:r w:rsidRPr="0010578E">
      <w:rPr>
        <w:b/>
        <w:bCs/>
        <w:sz w:val="18"/>
        <w:szCs w:val="18"/>
      </w:rPr>
      <w:fldChar w:fldCharType="end"/>
    </w:r>
  </w:p>
  <w:p w14:paraId="06D98F50" w14:textId="77777777" w:rsidR="00D37800" w:rsidRDefault="00D37800"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47D6"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784AC6C3" w14:textId="77777777" w:rsidR="00D37800" w:rsidRPr="00E6789D" w:rsidRDefault="00D37800">
    <w:pPr>
      <w:pStyle w:val="Header2"/>
      <w:rPr>
        <w:rFonts w:ascii="Arial" w:hAnsi="Arial" w:cs="Arial"/>
        <w:iCs/>
        <w:sz w:val="18"/>
        <w:szCs w:val="18"/>
      </w:rPr>
    </w:pPr>
    <w:r w:rsidRPr="00E6789D">
      <w:rPr>
        <w:rFonts w:ascii="Arial" w:hAnsi="Arial" w:cs="Arial"/>
        <w:iCs/>
        <w:sz w:val="18"/>
        <w:szCs w:val="18"/>
      </w:rPr>
      <w:t>Section V:  Proposal Exceptions</w:t>
    </w:r>
  </w:p>
  <w:p w14:paraId="67B827DD" w14:textId="01792479" w:rsidR="00D37800" w:rsidRPr="00E6789D" w:rsidRDefault="00D3780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1EDE4166" w14:textId="77777777" w:rsidR="00D37800" w:rsidRDefault="00D37800" w:rsidP="00C269F9">
    <w:pPr>
      <w:pStyle w:val="Header"/>
    </w:pPr>
    <w:r w:rsidRPr="00E6789D">
      <w:rPr>
        <w:rFonts w:ascii="Arial" w:hAnsi="Arial" w:cs="Arial"/>
        <w:i/>
        <w:iCs/>
        <w:sz w:val="18"/>
        <w:szCs w:val="18"/>
      </w:rPr>
      <w:t>Revised:  7/1/2013</w:t>
    </w:r>
  </w:p>
  <w:p w14:paraId="4F7FA00C" w14:textId="77777777" w:rsidR="00D37800" w:rsidRDefault="00D378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7D25" w14:textId="48403BBF" w:rsidR="00D37800" w:rsidRDefault="00D37800">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74D97" w:rsidRPr="00974D97">
      <w:rPr>
        <w:i/>
        <w:iCs/>
      </w:rPr>
      <w:t>3935</w:t>
    </w:r>
    <w:r>
      <w:rPr>
        <w:i/>
        <w:iCs/>
      </w:rPr>
      <w:fldChar w:fldCharType="end"/>
    </w:r>
  </w:p>
  <w:p w14:paraId="1DA4BCE6" w14:textId="77777777" w:rsidR="00D37800" w:rsidRDefault="00D37800">
    <w:pPr>
      <w:pStyle w:val="Header2"/>
      <w:rPr>
        <w:iCs/>
        <w:sz w:val="18"/>
      </w:rPr>
    </w:pPr>
    <w:r>
      <w:rPr>
        <w:iCs/>
        <w:sz w:val="18"/>
      </w:rPr>
      <w:t>Section VII:  Technical Specifications</w:t>
    </w:r>
  </w:p>
  <w:p w14:paraId="53EF8FD5" w14:textId="2BFF6D16" w:rsidR="00D37800" w:rsidRDefault="00D37800">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74D97" w:rsidRPr="00974D97">
      <w:rPr>
        <w:sz w:val="18"/>
      </w:rPr>
      <w:t>42752</w:t>
    </w:r>
    <w:r>
      <w:rPr>
        <w:b/>
        <w:bCs/>
        <w:sz w:val="18"/>
      </w:rPr>
      <w:fldChar w:fldCharType="end"/>
    </w:r>
  </w:p>
  <w:p w14:paraId="286DB4C6" w14:textId="77777777" w:rsidR="00D37800" w:rsidRDefault="00D37800">
    <w:pPr>
      <w:pStyle w:val="Header2"/>
      <w:rPr>
        <w:iCs/>
      </w:rPr>
    </w:pPr>
    <w:r>
      <w:rPr>
        <w:iCs/>
      </w:rPr>
      <w:t>Revised: 09/06/2005</w:t>
    </w:r>
  </w:p>
  <w:p w14:paraId="13BCD3F8" w14:textId="77777777" w:rsidR="00D37800" w:rsidRDefault="00D37800">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2B5E" w14:textId="77777777" w:rsidR="00D37800" w:rsidRPr="00E6789D" w:rsidRDefault="00D37800" w:rsidP="00BF6B0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791F8971" w14:textId="77777777" w:rsidR="00D37800" w:rsidRPr="00E6789D" w:rsidRDefault="00D37800">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49E89B27" w14:textId="461C9753" w:rsidR="00D37800" w:rsidRPr="00E6789D" w:rsidRDefault="00D37800"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7B94FE9B" w14:textId="77777777" w:rsidR="00D37800" w:rsidRPr="00E6789D" w:rsidRDefault="00D37800"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5/23/2017</w:t>
    </w:r>
  </w:p>
  <w:p w14:paraId="1DF87F8A" w14:textId="77777777" w:rsidR="00D37800" w:rsidRDefault="00D37800"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89E5"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5213D74E" w14:textId="77777777" w:rsidR="00D37800" w:rsidRPr="00E6789D" w:rsidRDefault="00D37800">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14:paraId="5E379F41" w14:textId="5545BF53" w:rsidR="00D37800" w:rsidRPr="00E6789D" w:rsidRDefault="00D3780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91FD7">
      <w:rPr>
        <w:rFonts w:ascii="Arial" w:hAnsi="Arial" w:cs="Arial"/>
        <w:bCs/>
        <w:sz w:val="18"/>
        <w:szCs w:val="18"/>
      </w:rPr>
      <w:fldChar w:fldCharType="begin"/>
    </w:r>
    <w:r w:rsidRPr="00F91FD7">
      <w:rPr>
        <w:rFonts w:ascii="Arial" w:hAnsi="Arial" w:cs="Arial"/>
        <w:bCs/>
        <w:sz w:val="18"/>
        <w:szCs w:val="18"/>
      </w:rPr>
      <w:instrText xml:space="preserve"> </w:instrText>
    </w:r>
    <w:r w:rsidRPr="00F91FD7">
      <w:rPr>
        <w:rFonts w:ascii="Arial" w:hAnsi="Arial" w:cs="Arial"/>
        <w:sz w:val="18"/>
        <w:szCs w:val="18"/>
      </w:rPr>
      <w:instrText>REF</w:instrText>
    </w:r>
    <w:r w:rsidRPr="00F91FD7">
      <w:rPr>
        <w:rFonts w:ascii="Arial" w:hAnsi="Arial" w:cs="Arial"/>
        <w:bCs/>
        <w:sz w:val="18"/>
        <w:szCs w:val="18"/>
      </w:rPr>
      <w:instrText xml:space="preserve"> </w:instrText>
    </w:r>
    <w:r w:rsidRPr="00F91FD7">
      <w:rPr>
        <w:rFonts w:ascii="Arial" w:hAnsi="Arial" w:cs="Arial"/>
        <w:sz w:val="18"/>
        <w:szCs w:val="18"/>
      </w:rPr>
      <w:instrText>ProjNum</w:instrText>
    </w:r>
    <w:r w:rsidRPr="00F91FD7">
      <w:rPr>
        <w:rFonts w:ascii="Arial" w:hAnsi="Arial" w:cs="Arial"/>
        <w:bCs/>
        <w:sz w:val="18"/>
        <w:szCs w:val="18"/>
      </w:rPr>
      <w:instrText xml:space="preserve">  \* CHARFORMAT    \* MERGEFORMAT </w:instrText>
    </w:r>
    <w:r w:rsidRPr="00F91FD7">
      <w:rPr>
        <w:rFonts w:ascii="Arial" w:hAnsi="Arial" w:cs="Arial"/>
        <w:bCs/>
        <w:sz w:val="18"/>
        <w:szCs w:val="18"/>
      </w:rPr>
      <w:fldChar w:fldCharType="separate"/>
    </w:r>
    <w:r w:rsidR="00974D97" w:rsidRPr="00974D97">
      <w:rPr>
        <w:rFonts w:ascii="Arial" w:hAnsi="Arial" w:cs="Arial"/>
        <w:sz w:val="18"/>
        <w:szCs w:val="18"/>
      </w:rPr>
      <w:t>42752</w:t>
    </w:r>
    <w:r w:rsidRPr="00F91FD7">
      <w:rPr>
        <w:rFonts w:ascii="Arial" w:hAnsi="Arial" w:cs="Arial"/>
        <w:bCs/>
        <w:sz w:val="18"/>
        <w:szCs w:val="18"/>
      </w:rPr>
      <w:fldChar w:fldCharType="end"/>
    </w:r>
  </w:p>
  <w:p w14:paraId="16E56B3D" w14:textId="77777777" w:rsidR="00D37800" w:rsidRPr="00E6789D" w:rsidRDefault="00D37800"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5/31/2017</w:t>
    </w:r>
  </w:p>
  <w:p w14:paraId="7A4FC8D7" w14:textId="77777777" w:rsidR="00D37800" w:rsidRDefault="00D37800"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CD5C" w14:textId="77777777" w:rsidR="00D37800" w:rsidRPr="00E60415" w:rsidRDefault="00D37800">
    <w:pPr>
      <w:pStyle w:val="Header"/>
      <w:rPr>
        <w:rFonts w:ascii="Arial" w:hAnsi="Arial" w:cs="Arial"/>
        <w:i/>
        <w:iCs/>
        <w:sz w:val="18"/>
        <w:szCs w:val="18"/>
      </w:rPr>
    </w:pPr>
    <w:r w:rsidRPr="00E60415">
      <w:rPr>
        <w:rFonts w:ascii="Arial" w:hAnsi="Arial" w:cs="Arial"/>
        <w:i/>
        <w:iCs/>
        <w:sz w:val="18"/>
        <w:szCs w:val="18"/>
      </w:rPr>
      <w:t xml:space="preserve">RFP No.: </w:t>
    </w:r>
    <w:r>
      <w:rPr>
        <w:rFonts w:ascii="Arial" w:hAnsi="Arial" w:cs="Arial"/>
        <w:i/>
        <w:iCs/>
        <w:sz w:val="18"/>
        <w:szCs w:val="18"/>
      </w:rPr>
      <w:t>3990</w:t>
    </w:r>
  </w:p>
  <w:p w14:paraId="4E3725ED" w14:textId="77777777" w:rsidR="00D37800" w:rsidRPr="00E6789D" w:rsidRDefault="00D37800">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34B6D754" w14:textId="785681D4" w:rsidR="00D37800" w:rsidRPr="00E6789D" w:rsidRDefault="00D37800">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E60415">
      <w:rPr>
        <w:rFonts w:ascii="Arial" w:hAnsi="Arial" w:cs="Arial"/>
        <w:bCs/>
        <w:sz w:val="18"/>
        <w:szCs w:val="18"/>
      </w:rPr>
      <w:fldChar w:fldCharType="begin"/>
    </w:r>
    <w:r w:rsidRPr="00E60415">
      <w:rPr>
        <w:rFonts w:ascii="Arial" w:hAnsi="Arial" w:cs="Arial"/>
        <w:bCs/>
        <w:sz w:val="18"/>
        <w:szCs w:val="18"/>
      </w:rPr>
      <w:instrText xml:space="preserve"> </w:instrText>
    </w:r>
    <w:r w:rsidRPr="00E60415">
      <w:rPr>
        <w:rFonts w:ascii="Arial" w:hAnsi="Arial" w:cs="Arial"/>
        <w:sz w:val="18"/>
        <w:szCs w:val="18"/>
      </w:rPr>
      <w:instrText>REF</w:instrText>
    </w:r>
    <w:r w:rsidRPr="00E60415">
      <w:rPr>
        <w:rFonts w:ascii="Arial" w:hAnsi="Arial" w:cs="Arial"/>
        <w:bCs/>
        <w:sz w:val="18"/>
        <w:szCs w:val="18"/>
      </w:rPr>
      <w:instrText xml:space="preserve"> </w:instrText>
    </w:r>
    <w:r w:rsidRPr="00E60415">
      <w:rPr>
        <w:rFonts w:ascii="Arial" w:hAnsi="Arial" w:cs="Arial"/>
        <w:sz w:val="18"/>
        <w:szCs w:val="18"/>
      </w:rPr>
      <w:instrText>ProjNum</w:instrText>
    </w:r>
    <w:r w:rsidRPr="00E60415">
      <w:rPr>
        <w:rFonts w:ascii="Arial" w:hAnsi="Arial" w:cs="Arial"/>
        <w:bCs/>
        <w:sz w:val="18"/>
        <w:szCs w:val="18"/>
      </w:rPr>
      <w:instrText xml:space="preserve">  \* CHARFORMAT    \* MERGEFORMAT </w:instrText>
    </w:r>
    <w:r w:rsidRPr="00E60415">
      <w:rPr>
        <w:rFonts w:ascii="Arial" w:hAnsi="Arial" w:cs="Arial"/>
        <w:bCs/>
        <w:sz w:val="18"/>
        <w:szCs w:val="18"/>
      </w:rPr>
      <w:fldChar w:fldCharType="separate"/>
    </w:r>
    <w:r w:rsidR="00974D97" w:rsidRPr="00974D97">
      <w:rPr>
        <w:rFonts w:ascii="Arial" w:hAnsi="Arial" w:cs="Arial"/>
        <w:sz w:val="18"/>
        <w:szCs w:val="18"/>
      </w:rPr>
      <w:t>42752</w:t>
    </w:r>
    <w:r w:rsidRPr="00E60415">
      <w:rPr>
        <w:rFonts w:ascii="Arial" w:hAnsi="Arial" w:cs="Arial"/>
        <w:bCs/>
        <w:sz w:val="18"/>
        <w:szCs w:val="18"/>
      </w:rPr>
      <w:fldChar w:fldCharType="end"/>
    </w:r>
  </w:p>
  <w:p w14:paraId="656F905F" w14:textId="77777777" w:rsidR="00D37800" w:rsidRPr="00E6789D" w:rsidRDefault="00D37800"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5/31/2017</w:t>
    </w:r>
  </w:p>
  <w:p w14:paraId="04028B12" w14:textId="77777777" w:rsidR="00D37800" w:rsidRDefault="00D37800"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09F6"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2E6F0ECA" w14:textId="77777777" w:rsidR="00D37800" w:rsidRPr="00E6789D" w:rsidRDefault="00D37800">
    <w:pPr>
      <w:pStyle w:val="Header2"/>
      <w:rPr>
        <w:rFonts w:ascii="Arial" w:hAnsi="Arial" w:cs="Arial"/>
        <w:iCs/>
        <w:sz w:val="18"/>
        <w:szCs w:val="18"/>
      </w:rPr>
    </w:pPr>
    <w:r w:rsidRPr="00E6789D">
      <w:rPr>
        <w:rFonts w:ascii="Arial" w:hAnsi="Arial" w:cs="Arial"/>
        <w:iCs/>
        <w:sz w:val="18"/>
        <w:szCs w:val="18"/>
      </w:rPr>
      <w:t>Section IX:  References</w:t>
    </w:r>
  </w:p>
  <w:p w14:paraId="75972EED" w14:textId="561B03A5" w:rsidR="00D37800" w:rsidRPr="00E6789D" w:rsidRDefault="00D37800">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43F0283E" w14:textId="77777777" w:rsidR="00D37800" w:rsidRPr="00E6789D" w:rsidRDefault="00D37800" w:rsidP="00C269F9">
    <w:pPr>
      <w:pStyle w:val="Header"/>
      <w:rPr>
        <w:rFonts w:ascii="Arial" w:hAnsi="Arial" w:cs="Arial"/>
      </w:rPr>
    </w:pPr>
    <w:r w:rsidRPr="00E6789D">
      <w:rPr>
        <w:rFonts w:ascii="Arial" w:hAnsi="Arial" w:cs="Arial"/>
        <w:i/>
        <w:iCs/>
        <w:sz w:val="18"/>
        <w:szCs w:val="18"/>
      </w:rPr>
      <w:t>Revised:  7/1/2013</w:t>
    </w:r>
  </w:p>
  <w:p w14:paraId="6F44ACF6" w14:textId="77777777" w:rsidR="00D37800" w:rsidRDefault="00D37800"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DA2B" w14:textId="77777777" w:rsidR="00D37800" w:rsidRPr="00E6789D" w:rsidRDefault="00D37800" w:rsidP="00EA48C9">
    <w:pPr>
      <w:pStyle w:val="Footer"/>
      <w:jc w:val="right"/>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303C82C8" w14:textId="77777777" w:rsidR="00D37800" w:rsidRPr="00E6789D" w:rsidRDefault="00D37800">
    <w:pPr>
      <w:pStyle w:val="Header2"/>
      <w:rPr>
        <w:rFonts w:ascii="Arial" w:hAnsi="Arial" w:cs="Arial"/>
        <w:iCs/>
        <w:sz w:val="18"/>
        <w:szCs w:val="18"/>
      </w:rPr>
    </w:pPr>
    <w:r w:rsidRPr="00E6789D">
      <w:rPr>
        <w:rFonts w:ascii="Arial" w:hAnsi="Arial" w:cs="Arial"/>
        <w:iCs/>
        <w:sz w:val="18"/>
        <w:szCs w:val="18"/>
      </w:rPr>
      <w:t>Exhibit A:  Standard Contract</w:t>
    </w:r>
  </w:p>
  <w:p w14:paraId="1C72005C" w14:textId="088E02EE" w:rsidR="00D37800" w:rsidRDefault="00D37800" w:rsidP="00EA48C9">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5C848AC2" w14:textId="77777777" w:rsidR="00D37800" w:rsidRPr="00EA48C9" w:rsidRDefault="00D37800" w:rsidP="00EA48C9">
    <w:pPr>
      <w:pStyle w:val="Header2"/>
      <w:rPr>
        <w:rFonts w:ascii="Arial" w:hAnsi="Arial" w:cs="Arial"/>
        <w:iCs/>
        <w:sz w:val="18"/>
        <w:szCs w:val="18"/>
      </w:rPr>
    </w:pPr>
    <w:r w:rsidRPr="00E6789D">
      <w:rPr>
        <w:rFonts w:ascii="Arial" w:hAnsi="Arial" w:cs="Arial"/>
        <w:iCs/>
        <w:sz w:val="18"/>
        <w:szCs w:val="18"/>
      </w:rPr>
      <w:t xml:space="preserve">Revised:  </w:t>
    </w:r>
    <w:r>
      <w:rPr>
        <w:rFonts w:ascii="Arial" w:hAnsi="Arial" w:cs="Arial"/>
        <w:iCs/>
        <w:sz w:val="18"/>
        <w:szCs w:val="18"/>
      </w:rPr>
      <w:t>1/10/2017</w:t>
    </w:r>
  </w:p>
  <w:p w14:paraId="63CC1D4D" w14:textId="77777777" w:rsidR="00D37800" w:rsidRDefault="00D37800" w:rsidP="002D0FE5">
    <w:pPr>
      <w:pStyle w:val="Foo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519B"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60BA73BC" w14:textId="77777777" w:rsidR="00D37800" w:rsidRPr="00E6789D" w:rsidRDefault="00D37800">
    <w:pPr>
      <w:pStyle w:val="Header2"/>
      <w:rPr>
        <w:rFonts w:ascii="Arial" w:hAnsi="Arial" w:cs="Arial"/>
        <w:iCs/>
        <w:sz w:val="18"/>
        <w:szCs w:val="18"/>
      </w:rPr>
    </w:pPr>
    <w:r>
      <w:rPr>
        <w:rFonts w:ascii="Arial" w:hAnsi="Arial" w:cs="Arial"/>
        <w:iCs/>
        <w:sz w:val="18"/>
        <w:szCs w:val="18"/>
      </w:rPr>
      <w:t>Attachment A:</w:t>
    </w:r>
    <w:r w:rsidRPr="00E6789D">
      <w:rPr>
        <w:rFonts w:ascii="Arial" w:hAnsi="Arial" w:cs="Arial"/>
        <w:iCs/>
        <w:sz w:val="18"/>
        <w:szCs w:val="18"/>
      </w:rPr>
      <w:t xml:space="preserve">  </w:t>
    </w:r>
    <w:r>
      <w:rPr>
        <w:rFonts w:ascii="Arial" w:hAnsi="Arial" w:cs="Arial"/>
        <w:iCs/>
        <w:sz w:val="18"/>
        <w:szCs w:val="18"/>
      </w:rPr>
      <w:t>State of Mississippi Payment Card Processing</w:t>
    </w:r>
  </w:p>
  <w:p w14:paraId="6BF6D7A0" w14:textId="2292A247" w:rsidR="00D37800" w:rsidRPr="00E6789D" w:rsidRDefault="00D37800">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77BAF747" w14:textId="77777777" w:rsidR="00D37800" w:rsidRPr="00E6789D" w:rsidRDefault="00D37800"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5/23/2017</w:t>
    </w:r>
  </w:p>
  <w:p w14:paraId="5AAD5D32" w14:textId="77777777" w:rsidR="00D37800" w:rsidRDefault="00D37800"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0720" w14:textId="77777777" w:rsidR="00D37800" w:rsidRPr="004E3357" w:rsidRDefault="00D37800" w:rsidP="00C146CB">
    <w:pPr>
      <w:pStyle w:val="Header"/>
      <w:rPr>
        <w:rFonts w:ascii="Arial" w:hAnsi="Arial" w:cs="Arial"/>
        <w:i/>
        <w:iCs/>
        <w:sz w:val="18"/>
        <w:szCs w:val="18"/>
      </w:rPr>
    </w:pPr>
    <w:r w:rsidRPr="004E3357">
      <w:rPr>
        <w:rFonts w:ascii="Arial" w:hAnsi="Arial" w:cs="Arial"/>
        <w:i/>
        <w:iCs/>
        <w:sz w:val="18"/>
        <w:szCs w:val="18"/>
      </w:rPr>
      <w:t xml:space="preserve">RFP No.: </w:t>
    </w:r>
    <w:r>
      <w:rPr>
        <w:rFonts w:ascii="Arial" w:hAnsi="Arial" w:cs="Arial"/>
        <w:i/>
        <w:iCs/>
        <w:sz w:val="18"/>
        <w:szCs w:val="18"/>
      </w:rPr>
      <w:t>3990</w:t>
    </w:r>
  </w:p>
  <w:p w14:paraId="7C8C27EB" w14:textId="77777777" w:rsidR="00D37800" w:rsidRPr="004E3357" w:rsidRDefault="00D37800" w:rsidP="00C146CB">
    <w:pPr>
      <w:pStyle w:val="Header2"/>
      <w:rPr>
        <w:rFonts w:ascii="Arial" w:hAnsi="Arial" w:cs="Arial"/>
        <w:sz w:val="18"/>
        <w:szCs w:val="18"/>
      </w:rPr>
    </w:pPr>
    <w:r w:rsidRPr="004E3357">
      <w:rPr>
        <w:rFonts w:ascii="Arial" w:hAnsi="Arial" w:cs="Arial"/>
        <w:sz w:val="18"/>
        <w:szCs w:val="18"/>
      </w:rPr>
      <w:t>ITS RFP Response Checklist</w:t>
    </w:r>
  </w:p>
  <w:p w14:paraId="27E465A6" w14:textId="40DAE786" w:rsidR="00D37800" w:rsidRPr="004E3357" w:rsidRDefault="00D37800"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974D97" w:rsidRPr="00974D97">
      <w:rPr>
        <w:rFonts w:ascii="Arial" w:hAnsi="Arial" w:cs="Arial"/>
        <w:sz w:val="18"/>
        <w:szCs w:val="18"/>
      </w:rPr>
      <w:t>42752</w:t>
    </w:r>
    <w:r w:rsidRPr="004E3357">
      <w:rPr>
        <w:rFonts w:ascii="Arial" w:hAnsi="Arial" w:cs="Arial"/>
        <w:b/>
        <w:bCs/>
        <w:sz w:val="18"/>
        <w:szCs w:val="18"/>
      </w:rPr>
      <w:fldChar w:fldCharType="end"/>
    </w:r>
  </w:p>
  <w:p w14:paraId="001C4DC7" w14:textId="77777777" w:rsidR="00D37800" w:rsidRPr="004E3357" w:rsidRDefault="00D37800">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5/12/2017</w:t>
    </w:r>
  </w:p>
  <w:p w14:paraId="58E06ECF" w14:textId="77777777" w:rsidR="00D37800" w:rsidRDefault="00D37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7964"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297BDF2D" w14:textId="77777777" w:rsidR="00D37800" w:rsidRPr="00E6789D" w:rsidRDefault="00D37800">
    <w:pPr>
      <w:pStyle w:val="Header2"/>
      <w:rPr>
        <w:rFonts w:ascii="Arial" w:hAnsi="Arial" w:cs="Arial"/>
        <w:sz w:val="18"/>
        <w:szCs w:val="18"/>
      </w:rPr>
    </w:pPr>
    <w:r w:rsidRPr="00E6789D">
      <w:rPr>
        <w:rFonts w:ascii="Arial" w:hAnsi="Arial" w:cs="Arial"/>
        <w:sz w:val="18"/>
        <w:szCs w:val="18"/>
      </w:rPr>
      <w:t xml:space="preserve">Table of Contents </w:t>
    </w:r>
  </w:p>
  <w:p w14:paraId="102D7FEB" w14:textId="4856E329" w:rsidR="00D37800" w:rsidRPr="00E6789D" w:rsidRDefault="00D37800">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3C91012F"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5/23/2017</w:t>
    </w:r>
  </w:p>
  <w:p w14:paraId="21E7455D" w14:textId="77777777" w:rsidR="00D37800" w:rsidRDefault="00D37800">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1692" w14:textId="44A55677" w:rsidR="00D37800" w:rsidRDefault="00D37800">
    <w:pPr>
      <w:pStyle w:val="Header"/>
    </w:pPr>
    <w:r>
      <w:t xml:space="preserve">RFP NO:  </w:t>
    </w:r>
    <w:r w:rsidR="00974D97">
      <w:fldChar w:fldCharType="begin"/>
    </w:r>
    <w:r w:rsidR="00974D97">
      <w:instrText xml:space="preserve"> REF RFP \* MERGEFORMAT </w:instrText>
    </w:r>
    <w:r w:rsidR="00974D97">
      <w:fldChar w:fldCharType="separate"/>
    </w:r>
    <w:r w:rsidR="00974D97" w:rsidRPr="00974D97">
      <w:rPr>
        <w:b/>
        <w:bCs/>
      </w:rPr>
      <w:t>3935</w:t>
    </w:r>
    <w:r w:rsidR="00974D97">
      <w:rPr>
        <w:b/>
        <w:bCs/>
      </w:rPr>
      <w:fldChar w:fldCharType="end"/>
    </w:r>
  </w:p>
  <w:p w14:paraId="0EC4BE80" w14:textId="77777777" w:rsidR="00D37800" w:rsidRDefault="00D37800">
    <w:pPr>
      <w:pStyle w:val="Header2"/>
    </w:pPr>
    <w:r>
      <w:rPr>
        <w:sz w:val="18"/>
      </w:rPr>
      <w:t>Section III:  Vendor Information</w:t>
    </w:r>
  </w:p>
  <w:p w14:paraId="2CCCF7B6" w14:textId="77777777" w:rsidR="00D37800" w:rsidRDefault="00D37800">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1F34"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6B10DE10" w14:textId="77777777" w:rsidR="00D37800" w:rsidRPr="00E6789D" w:rsidRDefault="00D37800">
    <w:pPr>
      <w:pStyle w:val="Header2"/>
      <w:rPr>
        <w:rFonts w:ascii="Arial" w:hAnsi="Arial" w:cs="Arial"/>
        <w:sz w:val="18"/>
        <w:szCs w:val="18"/>
      </w:rPr>
    </w:pPr>
    <w:r w:rsidRPr="00E6789D">
      <w:rPr>
        <w:rFonts w:ascii="Arial" w:hAnsi="Arial" w:cs="Arial"/>
        <w:sz w:val="18"/>
        <w:szCs w:val="18"/>
      </w:rPr>
      <w:t xml:space="preserve">Proposal Bonds </w:t>
    </w:r>
  </w:p>
  <w:p w14:paraId="0123F34B" w14:textId="28912272" w:rsidR="00D37800" w:rsidRPr="00E6789D" w:rsidRDefault="00D37800">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5B3931E0" w14:textId="77777777" w:rsidR="00D37800" w:rsidRPr="00E6789D" w:rsidRDefault="00D37800" w:rsidP="00C269F9">
    <w:pPr>
      <w:pStyle w:val="Header"/>
      <w:rPr>
        <w:rFonts w:ascii="Arial" w:hAnsi="Arial" w:cs="Arial"/>
      </w:rPr>
    </w:pPr>
    <w:r w:rsidRPr="00E6789D">
      <w:rPr>
        <w:rFonts w:ascii="Arial" w:hAnsi="Arial" w:cs="Arial"/>
        <w:i/>
        <w:iCs/>
        <w:sz w:val="18"/>
        <w:szCs w:val="18"/>
      </w:rPr>
      <w:t>Revised:  7/1/2013</w:t>
    </w:r>
  </w:p>
  <w:p w14:paraId="3C3B4FF8" w14:textId="77777777" w:rsidR="00D37800" w:rsidRDefault="00D37800"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369C"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2E29E639" w14:textId="77777777" w:rsidR="00D37800" w:rsidRPr="00E6789D" w:rsidRDefault="00D37800">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1871F3BF" w14:textId="1D83C7BC" w:rsidR="00D37800" w:rsidRPr="00E6789D" w:rsidRDefault="00D37800">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66A0B476" w14:textId="77777777" w:rsidR="00D37800" w:rsidRPr="00E6789D" w:rsidRDefault="00D37800" w:rsidP="00C269F9">
    <w:pPr>
      <w:pStyle w:val="Header"/>
      <w:rPr>
        <w:rFonts w:ascii="Arial" w:hAnsi="Arial" w:cs="Arial"/>
      </w:rPr>
    </w:pPr>
    <w:r w:rsidRPr="00E6789D">
      <w:rPr>
        <w:rFonts w:ascii="Arial" w:hAnsi="Arial" w:cs="Arial"/>
        <w:i/>
        <w:iCs/>
        <w:sz w:val="18"/>
        <w:szCs w:val="18"/>
      </w:rPr>
      <w:t>Revised:  7/1/2013</w:t>
    </w:r>
  </w:p>
  <w:p w14:paraId="3E37F70C" w14:textId="77777777" w:rsidR="00D37800" w:rsidRDefault="00D37800">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1CE7"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1A847F1F" w14:textId="77777777" w:rsidR="00D37800" w:rsidRPr="00E6789D" w:rsidRDefault="00D3780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680D7A63" w14:textId="7AA078A8" w:rsidR="00D37800" w:rsidRPr="00E6789D" w:rsidRDefault="00D37800">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681D15A8" w14:textId="77777777" w:rsidR="00D37800" w:rsidRDefault="00D37800" w:rsidP="00C269F9">
    <w:pPr>
      <w:pStyle w:val="Header"/>
    </w:pPr>
    <w:r w:rsidRPr="00E6789D">
      <w:rPr>
        <w:rFonts w:ascii="Arial" w:hAnsi="Arial" w:cs="Arial"/>
        <w:i/>
        <w:iCs/>
        <w:sz w:val="18"/>
        <w:szCs w:val="18"/>
      </w:rPr>
      <w:t xml:space="preserve">Revised:  </w:t>
    </w:r>
    <w:r>
      <w:rPr>
        <w:rFonts w:ascii="Arial" w:hAnsi="Arial" w:cs="Arial"/>
        <w:i/>
        <w:iCs/>
        <w:sz w:val="18"/>
        <w:szCs w:val="18"/>
      </w:rPr>
      <w:t>5/12/2017</w:t>
    </w:r>
  </w:p>
  <w:p w14:paraId="3ED4CB3D" w14:textId="77777777" w:rsidR="00D37800" w:rsidRDefault="00D378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3A5C"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18FB9AAA" w14:textId="77777777" w:rsidR="00D37800" w:rsidRPr="00E6789D" w:rsidRDefault="00D37800">
    <w:pPr>
      <w:pStyle w:val="Header2"/>
      <w:rPr>
        <w:rFonts w:ascii="Arial" w:hAnsi="Arial" w:cs="Arial"/>
        <w:iCs/>
        <w:sz w:val="18"/>
        <w:szCs w:val="18"/>
      </w:rPr>
    </w:pPr>
    <w:r w:rsidRPr="00E6789D">
      <w:rPr>
        <w:rFonts w:ascii="Arial" w:hAnsi="Arial" w:cs="Arial"/>
        <w:iCs/>
        <w:sz w:val="18"/>
        <w:szCs w:val="18"/>
      </w:rPr>
      <w:t>Section III:  Vendor Information</w:t>
    </w:r>
  </w:p>
  <w:p w14:paraId="07692AED" w14:textId="094C55E8" w:rsidR="00D37800" w:rsidRPr="00E6789D" w:rsidRDefault="00D3780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74D97" w:rsidRPr="00974D97">
      <w:rPr>
        <w:rFonts w:ascii="Arial" w:hAnsi="Arial" w:cs="Arial"/>
        <w:sz w:val="18"/>
        <w:szCs w:val="18"/>
      </w:rPr>
      <w:t>42752</w:t>
    </w:r>
    <w:r w:rsidRPr="00E6789D">
      <w:rPr>
        <w:rFonts w:ascii="Arial" w:hAnsi="Arial" w:cs="Arial"/>
        <w:b/>
        <w:bCs/>
        <w:sz w:val="18"/>
        <w:szCs w:val="18"/>
      </w:rPr>
      <w:fldChar w:fldCharType="end"/>
    </w:r>
  </w:p>
  <w:p w14:paraId="68A07E4B" w14:textId="77777777" w:rsidR="00D37800" w:rsidRDefault="00D37800" w:rsidP="00C269F9">
    <w:pPr>
      <w:pStyle w:val="Header"/>
    </w:pPr>
    <w:r w:rsidRPr="00E6789D">
      <w:rPr>
        <w:rFonts w:ascii="Arial" w:hAnsi="Arial" w:cs="Arial"/>
        <w:i/>
        <w:iCs/>
        <w:sz w:val="18"/>
        <w:szCs w:val="18"/>
      </w:rPr>
      <w:t>Revised:  7/1/2013</w:t>
    </w:r>
  </w:p>
  <w:p w14:paraId="7019E5ED" w14:textId="77777777" w:rsidR="00D37800" w:rsidRDefault="00D37800">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303F" w14:textId="77777777" w:rsidR="00D37800" w:rsidRPr="00E6789D" w:rsidRDefault="00D37800">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3990</w:t>
    </w:r>
  </w:p>
  <w:p w14:paraId="01B6B4F6" w14:textId="77777777" w:rsidR="00D37800" w:rsidRPr="00E6789D" w:rsidRDefault="00D37800">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5948ED33" w14:textId="73F7538D" w:rsidR="00D37800" w:rsidRPr="00E6789D" w:rsidRDefault="00D37800">
    <w:pPr>
      <w:pStyle w:val="Header2"/>
      <w:rPr>
        <w:rFonts w:ascii="Arial" w:hAnsi="Arial" w:cs="Arial"/>
        <w:iCs/>
        <w:sz w:val="18"/>
        <w:szCs w:val="18"/>
      </w:rPr>
    </w:pPr>
    <w:r w:rsidRPr="00E6789D">
      <w:rPr>
        <w:rFonts w:ascii="Arial" w:hAnsi="Arial" w:cs="Arial"/>
        <w:iCs/>
        <w:sz w:val="18"/>
        <w:szCs w:val="18"/>
      </w:rPr>
      <w:t xml:space="preserve">Project No.: </w:t>
    </w:r>
    <w:r w:rsidRPr="00F91FD7">
      <w:rPr>
        <w:rFonts w:ascii="Arial" w:hAnsi="Arial" w:cs="Arial"/>
        <w:sz w:val="18"/>
        <w:szCs w:val="18"/>
      </w:rPr>
      <w:fldChar w:fldCharType="begin"/>
    </w:r>
    <w:r w:rsidRPr="00F91FD7">
      <w:rPr>
        <w:rFonts w:ascii="Arial" w:hAnsi="Arial" w:cs="Arial"/>
        <w:sz w:val="18"/>
        <w:szCs w:val="18"/>
      </w:rPr>
      <w:instrText xml:space="preserve"> REF ProjNum  \* CHARFORMAT   \* MERGEFORMAT </w:instrText>
    </w:r>
    <w:r w:rsidRPr="00F91FD7">
      <w:rPr>
        <w:rFonts w:ascii="Arial" w:hAnsi="Arial" w:cs="Arial"/>
        <w:sz w:val="18"/>
        <w:szCs w:val="18"/>
      </w:rPr>
      <w:fldChar w:fldCharType="separate"/>
    </w:r>
    <w:r w:rsidR="00974D97" w:rsidRPr="00974D97">
      <w:rPr>
        <w:rFonts w:ascii="Arial" w:hAnsi="Arial" w:cs="Arial"/>
        <w:bCs/>
        <w:sz w:val="18"/>
        <w:szCs w:val="18"/>
      </w:rPr>
      <w:t>42752</w:t>
    </w:r>
    <w:r w:rsidRPr="00F91FD7">
      <w:rPr>
        <w:rFonts w:ascii="Arial" w:hAnsi="Arial" w:cs="Arial"/>
        <w:sz w:val="18"/>
        <w:szCs w:val="18"/>
      </w:rPr>
      <w:fldChar w:fldCharType="end"/>
    </w:r>
  </w:p>
  <w:p w14:paraId="5DC0A155" w14:textId="77777777" w:rsidR="00D37800" w:rsidRDefault="00D37800" w:rsidP="00C269F9">
    <w:pPr>
      <w:pStyle w:val="Header"/>
    </w:pPr>
    <w:r w:rsidRPr="00E6789D">
      <w:rPr>
        <w:rFonts w:ascii="Arial" w:hAnsi="Arial" w:cs="Arial"/>
        <w:i/>
        <w:iCs/>
        <w:sz w:val="18"/>
        <w:szCs w:val="18"/>
      </w:rPr>
      <w:t xml:space="preserve">Revised: </w:t>
    </w:r>
    <w:r>
      <w:rPr>
        <w:rFonts w:ascii="Arial" w:hAnsi="Arial" w:cs="Arial"/>
        <w:i/>
        <w:iCs/>
        <w:sz w:val="18"/>
        <w:szCs w:val="18"/>
      </w:rPr>
      <w:t>6/29/2016</w:t>
    </w:r>
  </w:p>
  <w:p w14:paraId="41FA28A0" w14:textId="77777777" w:rsidR="00D37800" w:rsidRDefault="00D37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3E48A0"/>
    <w:lvl w:ilvl="0">
      <w:start w:val="1"/>
      <w:numFmt w:val="bullet"/>
      <w:pStyle w:val="ListBullet"/>
      <w:lvlText w:val=""/>
      <w:lvlJc w:val="left"/>
      <w:pPr>
        <w:ind w:left="360" w:hanging="360"/>
      </w:pPr>
      <w:rPr>
        <w:rFonts w:ascii="Symbol" w:hAnsi="Symbol" w:hint="default"/>
        <w:b w:val="0"/>
        <w:i w:val="0"/>
        <w:caps w:val="0"/>
        <w:spacing w:val="0"/>
        <w:sz w:val="16"/>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85151"/>
    <w:multiLevelType w:val="hybridMultilevel"/>
    <w:tmpl w:val="D2D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2782"/>
    <w:multiLevelType w:val="multilevel"/>
    <w:tmpl w:val="949CAFB0"/>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F614C"/>
    <w:multiLevelType w:val="hybridMultilevel"/>
    <w:tmpl w:val="EC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824A8"/>
    <w:multiLevelType w:val="hybridMultilevel"/>
    <w:tmpl w:val="E23CB4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3BF5B3C"/>
    <w:multiLevelType w:val="hybridMultilevel"/>
    <w:tmpl w:val="91F00C20"/>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45D3698A"/>
    <w:multiLevelType w:val="hybridMultilevel"/>
    <w:tmpl w:val="2C922A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A9358E1"/>
    <w:multiLevelType w:val="hybridMultilevel"/>
    <w:tmpl w:val="D90AE1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0"/>
  </w:num>
  <w:num w:numId="14">
    <w:abstractNumId w:val="7"/>
  </w:num>
  <w:num w:numId="15">
    <w:abstractNumId w:val="4"/>
  </w:num>
  <w:num w:numId="16">
    <w:abstractNumId w:val="13"/>
  </w:num>
  <w:num w:numId="17">
    <w:abstractNumId w:val="15"/>
  </w:num>
  <w:num w:numId="18">
    <w:abstractNumId w:val="14"/>
  </w:num>
  <w:num w:numId="19">
    <w:abstractNumId w:val="10"/>
  </w:num>
  <w:num w:numId="20">
    <w:abstractNumId w:val="12"/>
  </w:num>
  <w:num w:numId="21">
    <w:abstractNumId w:val="1"/>
  </w:num>
  <w:num w:numId="22">
    <w:abstractNumId w:val="6"/>
  </w:num>
  <w:num w:numId="23">
    <w:abstractNumId w:val="2"/>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E0"/>
    <w:rsid w:val="0000027C"/>
    <w:rsid w:val="0001389D"/>
    <w:rsid w:val="00017868"/>
    <w:rsid w:val="0002205B"/>
    <w:rsid w:val="00024277"/>
    <w:rsid w:val="00030895"/>
    <w:rsid w:val="000310B5"/>
    <w:rsid w:val="00037393"/>
    <w:rsid w:val="00037A49"/>
    <w:rsid w:val="000431B0"/>
    <w:rsid w:val="000504D7"/>
    <w:rsid w:val="00062BF8"/>
    <w:rsid w:val="00063D34"/>
    <w:rsid w:val="00065698"/>
    <w:rsid w:val="00072C22"/>
    <w:rsid w:val="0008005A"/>
    <w:rsid w:val="000825FA"/>
    <w:rsid w:val="0009088A"/>
    <w:rsid w:val="00092450"/>
    <w:rsid w:val="0009523C"/>
    <w:rsid w:val="000B162F"/>
    <w:rsid w:val="000B17FF"/>
    <w:rsid w:val="000C3D9B"/>
    <w:rsid w:val="000D3574"/>
    <w:rsid w:val="000D70BB"/>
    <w:rsid w:val="000E1818"/>
    <w:rsid w:val="000E4915"/>
    <w:rsid w:val="000F3BFE"/>
    <w:rsid w:val="000F5FAE"/>
    <w:rsid w:val="00100CD6"/>
    <w:rsid w:val="00104191"/>
    <w:rsid w:val="00107933"/>
    <w:rsid w:val="00113829"/>
    <w:rsid w:val="001258AE"/>
    <w:rsid w:val="00140D40"/>
    <w:rsid w:val="00142CFD"/>
    <w:rsid w:val="0014443C"/>
    <w:rsid w:val="001448EE"/>
    <w:rsid w:val="001467A8"/>
    <w:rsid w:val="0014693D"/>
    <w:rsid w:val="001528E8"/>
    <w:rsid w:val="001552BA"/>
    <w:rsid w:val="0016617A"/>
    <w:rsid w:val="00167260"/>
    <w:rsid w:val="001674AF"/>
    <w:rsid w:val="00167BF9"/>
    <w:rsid w:val="00173E93"/>
    <w:rsid w:val="00174D4C"/>
    <w:rsid w:val="00183F5D"/>
    <w:rsid w:val="001904C3"/>
    <w:rsid w:val="001967BC"/>
    <w:rsid w:val="001A27BE"/>
    <w:rsid w:val="001A40A0"/>
    <w:rsid w:val="001B3D9F"/>
    <w:rsid w:val="001D0AA0"/>
    <w:rsid w:val="001D4BB5"/>
    <w:rsid w:val="001D52BF"/>
    <w:rsid w:val="001D6AE1"/>
    <w:rsid w:val="001D73A3"/>
    <w:rsid w:val="001E365E"/>
    <w:rsid w:val="001F15AD"/>
    <w:rsid w:val="001F40AE"/>
    <w:rsid w:val="00212064"/>
    <w:rsid w:val="00220DA5"/>
    <w:rsid w:val="0022523B"/>
    <w:rsid w:val="00227F7A"/>
    <w:rsid w:val="00230581"/>
    <w:rsid w:val="00232EAA"/>
    <w:rsid w:val="002405F2"/>
    <w:rsid w:val="002421E8"/>
    <w:rsid w:val="00244856"/>
    <w:rsid w:val="00244D26"/>
    <w:rsid w:val="002469CF"/>
    <w:rsid w:val="0025628B"/>
    <w:rsid w:val="00257D2F"/>
    <w:rsid w:val="00261ABD"/>
    <w:rsid w:val="002676B7"/>
    <w:rsid w:val="002718DD"/>
    <w:rsid w:val="0027425D"/>
    <w:rsid w:val="00276AF7"/>
    <w:rsid w:val="00282312"/>
    <w:rsid w:val="00282770"/>
    <w:rsid w:val="0028566D"/>
    <w:rsid w:val="00290FFF"/>
    <w:rsid w:val="00292FC8"/>
    <w:rsid w:val="00295A53"/>
    <w:rsid w:val="002978EF"/>
    <w:rsid w:val="00297BE8"/>
    <w:rsid w:val="002B4321"/>
    <w:rsid w:val="002B590C"/>
    <w:rsid w:val="002B69E0"/>
    <w:rsid w:val="002C11C0"/>
    <w:rsid w:val="002C4370"/>
    <w:rsid w:val="002D0FE5"/>
    <w:rsid w:val="002E021B"/>
    <w:rsid w:val="002E28C7"/>
    <w:rsid w:val="002E48C2"/>
    <w:rsid w:val="002E609F"/>
    <w:rsid w:val="002F396A"/>
    <w:rsid w:val="00306430"/>
    <w:rsid w:val="0031008D"/>
    <w:rsid w:val="003151AF"/>
    <w:rsid w:val="00315B0A"/>
    <w:rsid w:val="003222E3"/>
    <w:rsid w:val="00341BF5"/>
    <w:rsid w:val="003465C7"/>
    <w:rsid w:val="0035091E"/>
    <w:rsid w:val="00351D1F"/>
    <w:rsid w:val="003560BD"/>
    <w:rsid w:val="0036050C"/>
    <w:rsid w:val="00362192"/>
    <w:rsid w:val="00385D33"/>
    <w:rsid w:val="0039128A"/>
    <w:rsid w:val="00391B93"/>
    <w:rsid w:val="0039617E"/>
    <w:rsid w:val="003965BC"/>
    <w:rsid w:val="003B1712"/>
    <w:rsid w:val="003B574F"/>
    <w:rsid w:val="003B74C1"/>
    <w:rsid w:val="003B7D86"/>
    <w:rsid w:val="003C0A2B"/>
    <w:rsid w:val="003C309A"/>
    <w:rsid w:val="003C3C8C"/>
    <w:rsid w:val="003D4573"/>
    <w:rsid w:val="003D71F8"/>
    <w:rsid w:val="003E130C"/>
    <w:rsid w:val="003E2C4F"/>
    <w:rsid w:val="003F150B"/>
    <w:rsid w:val="003F295B"/>
    <w:rsid w:val="003F7367"/>
    <w:rsid w:val="00412D6E"/>
    <w:rsid w:val="00425D23"/>
    <w:rsid w:val="00433581"/>
    <w:rsid w:val="004340A5"/>
    <w:rsid w:val="0043639F"/>
    <w:rsid w:val="00440FEE"/>
    <w:rsid w:val="0045495A"/>
    <w:rsid w:val="00460508"/>
    <w:rsid w:val="00460B6B"/>
    <w:rsid w:val="004610A5"/>
    <w:rsid w:val="00465581"/>
    <w:rsid w:val="00477EF3"/>
    <w:rsid w:val="004819D0"/>
    <w:rsid w:val="00484771"/>
    <w:rsid w:val="00491181"/>
    <w:rsid w:val="004920DB"/>
    <w:rsid w:val="00492679"/>
    <w:rsid w:val="004A01A0"/>
    <w:rsid w:val="004A080B"/>
    <w:rsid w:val="004A32C6"/>
    <w:rsid w:val="004A3577"/>
    <w:rsid w:val="004A3EC8"/>
    <w:rsid w:val="004A4CEC"/>
    <w:rsid w:val="004B0B83"/>
    <w:rsid w:val="004B0DED"/>
    <w:rsid w:val="004B388C"/>
    <w:rsid w:val="004C02A3"/>
    <w:rsid w:val="004C27B7"/>
    <w:rsid w:val="004D282B"/>
    <w:rsid w:val="004D62DD"/>
    <w:rsid w:val="004E3357"/>
    <w:rsid w:val="004E69F3"/>
    <w:rsid w:val="004F2D3B"/>
    <w:rsid w:val="00502004"/>
    <w:rsid w:val="0051490A"/>
    <w:rsid w:val="00526974"/>
    <w:rsid w:val="00540FF2"/>
    <w:rsid w:val="0054450E"/>
    <w:rsid w:val="00551AF0"/>
    <w:rsid w:val="00552327"/>
    <w:rsid w:val="00553044"/>
    <w:rsid w:val="005549F5"/>
    <w:rsid w:val="00564B76"/>
    <w:rsid w:val="00573486"/>
    <w:rsid w:val="00573A76"/>
    <w:rsid w:val="0058138B"/>
    <w:rsid w:val="00592D63"/>
    <w:rsid w:val="00595502"/>
    <w:rsid w:val="005A7A00"/>
    <w:rsid w:val="005A7A5C"/>
    <w:rsid w:val="005B6DF1"/>
    <w:rsid w:val="005C30B4"/>
    <w:rsid w:val="005D6C2A"/>
    <w:rsid w:val="005D7E0E"/>
    <w:rsid w:val="005F5009"/>
    <w:rsid w:val="00606C2B"/>
    <w:rsid w:val="0061377C"/>
    <w:rsid w:val="00621150"/>
    <w:rsid w:val="006272FB"/>
    <w:rsid w:val="006305B5"/>
    <w:rsid w:val="00635AD0"/>
    <w:rsid w:val="006405A0"/>
    <w:rsid w:val="00641CEB"/>
    <w:rsid w:val="00645236"/>
    <w:rsid w:val="0065259D"/>
    <w:rsid w:val="00657437"/>
    <w:rsid w:val="00661D3E"/>
    <w:rsid w:val="0067109C"/>
    <w:rsid w:val="006725F3"/>
    <w:rsid w:val="00672C1F"/>
    <w:rsid w:val="00682436"/>
    <w:rsid w:val="00682E9E"/>
    <w:rsid w:val="00685E96"/>
    <w:rsid w:val="00692E2F"/>
    <w:rsid w:val="006A025E"/>
    <w:rsid w:val="006A499B"/>
    <w:rsid w:val="006C1D89"/>
    <w:rsid w:val="006C71D5"/>
    <w:rsid w:val="006D210D"/>
    <w:rsid w:val="006D25C6"/>
    <w:rsid w:val="006D331D"/>
    <w:rsid w:val="006E1C9D"/>
    <w:rsid w:val="006E2C06"/>
    <w:rsid w:val="006F0345"/>
    <w:rsid w:val="006F5060"/>
    <w:rsid w:val="006F74A7"/>
    <w:rsid w:val="0070058F"/>
    <w:rsid w:val="00721CE6"/>
    <w:rsid w:val="007333AD"/>
    <w:rsid w:val="007347BF"/>
    <w:rsid w:val="00736B5D"/>
    <w:rsid w:val="00747710"/>
    <w:rsid w:val="007629B4"/>
    <w:rsid w:val="00765C44"/>
    <w:rsid w:val="00773653"/>
    <w:rsid w:val="00774B6E"/>
    <w:rsid w:val="00783E2F"/>
    <w:rsid w:val="00790C52"/>
    <w:rsid w:val="00793901"/>
    <w:rsid w:val="007942F3"/>
    <w:rsid w:val="00797894"/>
    <w:rsid w:val="007A35CA"/>
    <w:rsid w:val="007A3D73"/>
    <w:rsid w:val="007A624D"/>
    <w:rsid w:val="007B2896"/>
    <w:rsid w:val="007B62ED"/>
    <w:rsid w:val="007C0B42"/>
    <w:rsid w:val="007C5E59"/>
    <w:rsid w:val="007D23CB"/>
    <w:rsid w:val="007D2BAD"/>
    <w:rsid w:val="007D4ADE"/>
    <w:rsid w:val="007E0B1A"/>
    <w:rsid w:val="00805A60"/>
    <w:rsid w:val="00807A25"/>
    <w:rsid w:val="008116E2"/>
    <w:rsid w:val="0081401F"/>
    <w:rsid w:val="008170F0"/>
    <w:rsid w:val="00817592"/>
    <w:rsid w:val="00825F53"/>
    <w:rsid w:val="00835DC9"/>
    <w:rsid w:val="00837013"/>
    <w:rsid w:val="00837398"/>
    <w:rsid w:val="00844533"/>
    <w:rsid w:val="00880040"/>
    <w:rsid w:val="00883216"/>
    <w:rsid w:val="008844D3"/>
    <w:rsid w:val="008909F0"/>
    <w:rsid w:val="0089329F"/>
    <w:rsid w:val="008949C3"/>
    <w:rsid w:val="0089683C"/>
    <w:rsid w:val="00896B82"/>
    <w:rsid w:val="008B268A"/>
    <w:rsid w:val="008B3F18"/>
    <w:rsid w:val="008B64DB"/>
    <w:rsid w:val="008C57B6"/>
    <w:rsid w:val="008C6DD3"/>
    <w:rsid w:val="008D5B96"/>
    <w:rsid w:val="008E1F09"/>
    <w:rsid w:val="008E3DEF"/>
    <w:rsid w:val="008F5C11"/>
    <w:rsid w:val="008F5F84"/>
    <w:rsid w:val="008F720A"/>
    <w:rsid w:val="008F7A7B"/>
    <w:rsid w:val="00903D02"/>
    <w:rsid w:val="00904FFB"/>
    <w:rsid w:val="00927B30"/>
    <w:rsid w:val="00930C53"/>
    <w:rsid w:val="00931972"/>
    <w:rsid w:val="00933D23"/>
    <w:rsid w:val="00934D44"/>
    <w:rsid w:val="00937080"/>
    <w:rsid w:val="009460E8"/>
    <w:rsid w:val="00946893"/>
    <w:rsid w:val="00946CD4"/>
    <w:rsid w:val="009549D0"/>
    <w:rsid w:val="009605B9"/>
    <w:rsid w:val="0097108B"/>
    <w:rsid w:val="00972832"/>
    <w:rsid w:val="00974D97"/>
    <w:rsid w:val="00977B61"/>
    <w:rsid w:val="00983AEA"/>
    <w:rsid w:val="00985FDA"/>
    <w:rsid w:val="00991F32"/>
    <w:rsid w:val="009945CE"/>
    <w:rsid w:val="0099484C"/>
    <w:rsid w:val="00995C1A"/>
    <w:rsid w:val="0099741E"/>
    <w:rsid w:val="009976BB"/>
    <w:rsid w:val="009D35C2"/>
    <w:rsid w:val="009E4CCF"/>
    <w:rsid w:val="009E5710"/>
    <w:rsid w:val="009F2135"/>
    <w:rsid w:val="009F4CE2"/>
    <w:rsid w:val="009F67D2"/>
    <w:rsid w:val="009F67F7"/>
    <w:rsid w:val="00A00766"/>
    <w:rsid w:val="00A02BB5"/>
    <w:rsid w:val="00A06E36"/>
    <w:rsid w:val="00A1307C"/>
    <w:rsid w:val="00A13B0F"/>
    <w:rsid w:val="00A147DB"/>
    <w:rsid w:val="00A15BC6"/>
    <w:rsid w:val="00A21646"/>
    <w:rsid w:val="00A23BC8"/>
    <w:rsid w:val="00A25FE6"/>
    <w:rsid w:val="00A43B9B"/>
    <w:rsid w:val="00A53F6B"/>
    <w:rsid w:val="00A64026"/>
    <w:rsid w:val="00A73A46"/>
    <w:rsid w:val="00A87477"/>
    <w:rsid w:val="00AA0813"/>
    <w:rsid w:val="00AA1182"/>
    <w:rsid w:val="00AA4F84"/>
    <w:rsid w:val="00AC5249"/>
    <w:rsid w:val="00AD2DCA"/>
    <w:rsid w:val="00AD5E69"/>
    <w:rsid w:val="00AE1267"/>
    <w:rsid w:val="00AF3714"/>
    <w:rsid w:val="00AF3CA2"/>
    <w:rsid w:val="00AF5B34"/>
    <w:rsid w:val="00B055E3"/>
    <w:rsid w:val="00B12E04"/>
    <w:rsid w:val="00B14AAE"/>
    <w:rsid w:val="00B14B65"/>
    <w:rsid w:val="00B203E5"/>
    <w:rsid w:val="00B21DC6"/>
    <w:rsid w:val="00B23BCA"/>
    <w:rsid w:val="00B27F52"/>
    <w:rsid w:val="00B301AD"/>
    <w:rsid w:val="00B40944"/>
    <w:rsid w:val="00B41A25"/>
    <w:rsid w:val="00B54CF0"/>
    <w:rsid w:val="00B55EC5"/>
    <w:rsid w:val="00B56311"/>
    <w:rsid w:val="00B604A2"/>
    <w:rsid w:val="00B63A4E"/>
    <w:rsid w:val="00B64B16"/>
    <w:rsid w:val="00B70562"/>
    <w:rsid w:val="00B70E7C"/>
    <w:rsid w:val="00B74222"/>
    <w:rsid w:val="00B750DB"/>
    <w:rsid w:val="00B75F1C"/>
    <w:rsid w:val="00B85ED1"/>
    <w:rsid w:val="00B901B9"/>
    <w:rsid w:val="00B92D5A"/>
    <w:rsid w:val="00B94363"/>
    <w:rsid w:val="00BC216A"/>
    <w:rsid w:val="00BC24FC"/>
    <w:rsid w:val="00BD0C8C"/>
    <w:rsid w:val="00BD2169"/>
    <w:rsid w:val="00BD2AD6"/>
    <w:rsid w:val="00BD55E4"/>
    <w:rsid w:val="00BF1916"/>
    <w:rsid w:val="00BF3599"/>
    <w:rsid w:val="00BF6B07"/>
    <w:rsid w:val="00C0652C"/>
    <w:rsid w:val="00C075C8"/>
    <w:rsid w:val="00C146CB"/>
    <w:rsid w:val="00C172D1"/>
    <w:rsid w:val="00C2482D"/>
    <w:rsid w:val="00C25F29"/>
    <w:rsid w:val="00C2664F"/>
    <w:rsid w:val="00C269F9"/>
    <w:rsid w:val="00C32F25"/>
    <w:rsid w:val="00C35574"/>
    <w:rsid w:val="00C43070"/>
    <w:rsid w:val="00C51AFF"/>
    <w:rsid w:val="00C54C86"/>
    <w:rsid w:val="00C55FAC"/>
    <w:rsid w:val="00C56132"/>
    <w:rsid w:val="00C6052E"/>
    <w:rsid w:val="00C62400"/>
    <w:rsid w:val="00C64F08"/>
    <w:rsid w:val="00C67BAE"/>
    <w:rsid w:val="00C75638"/>
    <w:rsid w:val="00C75C24"/>
    <w:rsid w:val="00C965C1"/>
    <w:rsid w:val="00CA3013"/>
    <w:rsid w:val="00CC6013"/>
    <w:rsid w:val="00CE296A"/>
    <w:rsid w:val="00CE63A4"/>
    <w:rsid w:val="00CF05AC"/>
    <w:rsid w:val="00CF1977"/>
    <w:rsid w:val="00D00D72"/>
    <w:rsid w:val="00D066B2"/>
    <w:rsid w:val="00D103E3"/>
    <w:rsid w:val="00D10C7D"/>
    <w:rsid w:val="00D21C28"/>
    <w:rsid w:val="00D273A0"/>
    <w:rsid w:val="00D3136B"/>
    <w:rsid w:val="00D37800"/>
    <w:rsid w:val="00D437A8"/>
    <w:rsid w:val="00D45F32"/>
    <w:rsid w:val="00D467C2"/>
    <w:rsid w:val="00D50DD0"/>
    <w:rsid w:val="00D511B1"/>
    <w:rsid w:val="00D64F38"/>
    <w:rsid w:val="00D66D9A"/>
    <w:rsid w:val="00D674D2"/>
    <w:rsid w:val="00D72708"/>
    <w:rsid w:val="00D752AB"/>
    <w:rsid w:val="00D75A10"/>
    <w:rsid w:val="00D76F34"/>
    <w:rsid w:val="00D76F9E"/>
    <w:rsid w:val="00D90D4F"/>
    <w:rsid w:val="00D93BCF"/>
    <w:rsid w:val="00D9532C"/>
    <w:rsid w:val="00D971FC"/>
    <w:rsid w:val="00DA0BE0"/>
    <w:rsid w:val="00DB14AE"/>
    <w:rsid w:val="00DB714E"/>
    <w:rsid w:val="00DC56F4"/>
    <w:rsid w:val="00DD0731"/>
    <w:rsid w:val="00DD3E93"/>
    <w:rsid w:val="00DD4B27"/>
    <w:rsid w:val="00DD6EC1"/>
    <w:rsid w:val="00DE704E"/>
    <w:rsid w:val="00DE7F89"/>
    <w:rsid w:val="00DF2299"/>
    <w:rsid w:val="00E1177D"/>
    <w:rsid w:val="00E212CC"/>
    <w:rsid w:val="00E25C3B"/>
    <w:rsid w:val="00E2660B"/>
    <w:rsid w:val="00E2671F"/>
    <w:rsid w:val="00E270D5"/>
    <w:rsid w:val="00E2773C"/>
    <w:rsid w:val="00E2794B"/>
    <w:rsid w:val="00E35825"/>
    <w:rsid w:val="00E42FB4"/>
    <w:rsid w:val="00E47832"/>
    <w:rsid w:val="00E553DA"/>
    <w:rsid w:val="00E60415"/>
    <w:rsid w:val="00E6103E"/>
    <w:rsid w:val="00E64F27"/>
    <w:rsid w:val="00E6789D"/>
    <w:rsid w:val="00E762AA"/>
    <w:rsid w:val="00E83E38"/>
    <w:rsid w:val="00E86F01"/>
    <w:rsid w:val="00E90560"/>
    <w:rsid w:val="00E92762"/>
    <w:rsid w:val="00E95652"/>
    <w:rsid w:val="00E9611B"/>
    <w:rsid w:val="00EA23A5"/>
    <w:rsid w:val="00EA48C9"/>
    <w:rsid w:val="00EB006E"/>
    <w:rsid w:val="00EB1B13"/>
    <w:rsid w:val="00EC0078"/>
    <w:rsid w:val="00ED10D5"/>
    <w:rsid w:val="00EE4A38"/>
    <w:rsid w:val="00EE78DC"/>
    <w:rsid w:val="00EF64FB"/>
    <w:rsid w:val="00F21853"/>
    <w:rsid w:val="00F34152"/>
    <w:rsid w:val="00F4414C"/>
    <w:rsid w:val="00F443DF"/>
    <w:rsid w:val="00F5528C"/>
    <w:rsid w:val="00F60CC1"/>
    <w:rsid w:val="00F85D65"/>
    <w:rsid w:val="00F91FD7"/>
    <w:rsid w:val="00F925E1"/>
    <w:rsid w:val="00F92D52"/>
    <w:rsid w:val="00F975A2"/>
    <w:rsid w:val="00FA0D1E"/>
    <w:rsid w:val="00FA1576"/>
    <w:rsid w:val="00FA4744"/>
    <w:rsid w:val="00FA7F68"/>
    <w:rsid w:val="00FB7258"/>
    <w:rsid w:val="00FC105E"/>
    <w:rsid w:val="00FD4259"/>
    <w:rsid w:val="00FE196D"/>
    <w:rsid w:val="00FE75D5"/>
    <w:rsid w:val="00FE7794"/>
    <w:rsid w:val="00FE792F"/>
    <w:rsid w:val="00FF278A"/>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AB8E46F"/>
  <w15:chartTrackingRefBased/>
  <w15:docId w15:val="{ABA0BB9A-4B75-450C-B834-02AADE2F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635AD0"/>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635AD0"/>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Level3Char">
    <w:name w:val="Level 3 Char"/>
    <w:link w:val="Level3"/>
    <w:rsid w:val="00D93BCF"/>
    <w:rPr>
      <w:sz w:val="24"/>
    </w:rPr>
  </w:style>
  <w:style w:type="paragraph" w:styleId="ListParagraph">
    <w:name w:val="List Paragraph"/>
    <w:basedOn w:val="Normal"/>
    <w:uiPriority w:val="34"/>
    <w:qFormat/>
    <w:rsid w:val="00D93BCF"/>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Default">
    <w:name w:val="Default"/>
    <w:rsid w:val="00D93BCF"/>
    <w:pPr>
      <w:widowControl w:val="0"/>
      <w:autoSpaceDE w:val="0"/>
      <w:autoSpaceDN w:val="0"/>
      <w:adjustRightInd w:val="0"/>
    </w:pPr>
    <w:rPr>
      <w:rFonts w:eastAsiaTheme="minorEastAsia"/>
      <w:color w:val="000000"/>
      <w:sz w:val="24"/>
      <w:szCs w:val="24"/>
      <w:lang w:eastAsia="ja-JP"/>
    </w:rPr>
  </w:style>
  <w:style w:type="paragraph" w:styleId="ListBullet">
    <w:name w:val="List Bullet"/>
    <w:basedOn w:val="Normal"/>
    <w:uiPriority w:val="99"/>
    <w:unhideWhenUsed/>
    <w:qFormat/>
    <w:rsid w:val="00D93BCF"/>
    <w:pPr>
      <w:widowControl/>
      <w:numPr>
        <w:numId w:val="13"/>
      </w:numPr>
      <w:autoSpaceDE/>
      <w:autoSpaceDN/>
      <w:adjustRightInd/>
    </w:pPr>
    <w:rPr>
      <w:rFonts w:ascii="Calibri" w:eastAsia="Calibri" w:hAnsi="Calibri"/>
      <w:sz w:val="22"/>
      <w:szCs w:val="22"/>
    </w:rPr>
  </w:style>
  <w:style w:type="paragraph" w:styleId="NoSpacing">
    <w:name w:val="No Spacing"/>
    <w:uiPriority w:val="1"/>
    <w:qFormat/>
    <w:rsid w:val="00D93BCF"/>
    <w:rPr>
      <w:rFonts w:asciiTheme="minorHAnsi" w:eastAsiaTheme="minorEastAsia" w:hAnsiTheme="minorHAnsi" w:cstheme="minorBidi"/>
      <w:sz w:val="24"/>
      <w:szCs w:val="24"/>
      <w:lang w:eastAsia="ja-JP"/>
    </w:rPr>
  </w:style>
  <w:style w:type="table" w:styleId="TableGrid">
    <w:name w:val="Table Grid"/>
    <w:basedOn w:val="TableNormal"/>
    <w:uiPriority w:val="59"/>
    <w:rsid w:val="00CA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7800"/>
    <w:rPr>
      <w:sz w:val="16"/>
      <w:szCs w:val="16"/>
    </w:rPr>
  </w:style>
  <w:style w:type="paragraph" w:styleId="CommentText">
    <w:name w:val="annotation text"/>
    <w:basedOn w:val="Normal"/>
    <w:link w:val="CommentTextChar"/>
    <w:uiPriority w:val="99"/>
    <w:semiHidden/>
    <w:unhideWhenUsed/>
    <w:rsid w:val="00D37800"/>
    <w:rPr>
      <w:sz w:val="20"/>
      <w:szCs w:val="20"/>
    </w:rPr>
  </w:style>
  <w:style w:type="character" w:customStyle="1" w:styleId="CommentTextChar">
    <w:name w:val="Comment Text Char"/>
    <w:basedOn w:val="DefaultParagraphFont"/>
    <w:link w:val="CommentText"/>
    <w:uiPriority w:val="99"/>
    <w:semiHidden/>
    <w:rsid w:val="00D37800"/>
  </w:style>
  <w:style w:type="paragraph" w:styleId="CommentSubject">
    <w:name w:val="annotation subject"/>
    <w:basedOn w:val="CommentText"/>
    <w:next w:val="CommentText"/>
    <w:link w:val="CommentSubjectChar"/>
    <w:uiPriority w:val="99"/>
    <w:semiHidden/>
    <w:unhideWhenUsed/>
    <w:rsid w:val="00D37800"/>
    <w:rPr>
      <w:b/>
      <w:bCs/>
    </w:rPr>
  </w:style>
  <w:style w:type="character" w:customStyle="1" w:styleId="CommentSubjectChar">
    <w:name w:val="Comment Subject Char"/>
    <w:basedOn w:val="CommentTextChar"/>
    <w:link w:val="CommentSubject"/>
    <w:uiPriority w:val="99"/>
    <w:semiHidden/>
    <w:rsid w:val="00D37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2346">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image" Target="media/image3.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image" Target="media/image2.png"/><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oleObject" Target="embeddings/oleObject1.bin"/><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46" Type="http://schemas.openxmlformats.org/officeDocument/2006/relationships/header" Target="header17.xml"/><Relationship Id="rId20" Type="http://schemas.openxmlformats.org/officeDocument/2006/relationships/header" Target="header7.xml"/><Relationship Id="rId41" Type="http://schemas.openxmlformats.org/officeDocument/2006/relationships/hyperlink" Target="mailto:Derrick.Cole@eg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D067-F877-46B9-9ABD-A45755AD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110</TotalTime>
  <Pages>89</Pages>
  <Words>31641</Words>
  <Characters>175575</Characters>
  <Application>Microsoft Office Word</Application>
  <DocSecurity>0</DocSecurity>
  <Lines>1463</Lines>
  <Paragraphs>413</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206803</CharactersWithSpaces>
  <SharedDoc>false</SharedDoc>
  <HLinks>
    <vt:vector size="210"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7602232</vt:i4>
      </vt:variant>
      <vt:variant>
        <vt:i4>264</vt:i4>
      </vt:variant>
      <vt:variant>
        <vt:i4>0</vt:i4>
      </vt:variant>
      <vt:variant>
        <vt:i4>5</vt:i4>
      </vt:variant>
      <vt:variant>
        <vt:lpwstr>http://www.dfa.ms.gov/dfa-offices/mmrs/mississippi-suppliers-vendors/supplier-self-service/</vt:lpwstr>
      </vt:variant>
      <vt:variant>
        <vt:lpwstr/>
      </vt:variant>
      <vt:variant>
        <vt:i4>5111933</vt:i4>
      </vt:variant>
      <vt:variant>
        <vt:i4>261</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Donna Hamilton</dc:creator>
  <cp:keywords/>
  <cp:lastModifiedBy>Michelle Smith</cp:lastModifiedBy>
  <cp:revision>15</cp:revision>
  <cp:lastPrinted>2017-06-06T19:34:00Z</cp:lastPrinted>
  <dcterms:created xsi:type="dcterms:W3CDTF">2017-05-12T20:28:00Z</dcterms:created>
  <dcterms:modified xsi:type="dcterms:W3CDTF">2017-06-06T19:35:00Z</dcterms:modified>
</cp:coreProperties>
</file>