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14" w:rsidRDefault="00487414" w:rsidP="00487414">
      <w:pPr>
        <w:jc w:val="center"/>
        <w:rPr>
          <w:noProof/>
        </w:rPr>
      </w:pPr>
      <w:r w:rsidRPr="008054A3">
        <w:rPr>
          <w:noProof/>
        </w:rPr>
        <w:drawing>
          <wp:inline distT="0" distB="0" distL="0" distR="0" wp14:anchorId="4988E19D" wp14:editId="23441689">
            <wp:extent cx="1242060" cy="828040"/>
            <wp:effectExtent l="0" t="0" r="0" b="0"/>
            <wp:docPr id="23"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rsidR="00487414" w:rsidRDefault="00487414" w:rsidP="00487414">
      <w:pPr>
        <w:rPr>
          <w:noProof/>
        </w:rPr>
      </w:pPr>
    </w:p>
    <w:p w:rsidR="00C16533" w:rsidRPr="00487414" w:rsidRDefault="00487414" w:rsidP="005A2860">
      <w:pPr>
        <w:spacing w:before="60" w:after="120"/>
        <w:jc w:val="center"/>
        <w:rPr>
          <w:b/>
          <w:sz w:val="44"/>
          <w:szCs w:val="44"/>
        </w:rPr>
      </w:pPr>
      <w:r w:rsidRPr="00487414">
        <w:rPr>
          <w:b/>
          <w:sz w:val="44"/>
          <w:szCs w:val="44"/>
        </w:rPr>
        <w:t xml:space="preserve">IFB No: </w:t>
      </w:r>
      <w:r w:rsidRPr="00487414">
        <w:rPr>
          <w:b/>
          <w:sz w:val="44"/>
          <w:szCs w:val="44"/>
        </w:rPr>
        <w:fldChar w:fldCharType="begin"/>
      </w:r>
      <w:r w:rsidRPr="00487414">
        <w:rPr>
          <w:b/>
          <w:sz w:val="44"/>
          <w:szCs w:val="44"/>
        </w:rPr>
        <w:instrText xml:space="preserve"> ASK RFP "Enter the RFP Number" \* MERGEFORMAT </w:instrText>
      </w:r>
      <w:r w:rsidRPr="00487414">
        <w:rPr>
          <w:b/>
          <w:sz w:val="44"/>
          <w:szCs w:val="44"/>
        </w:rPr>
        <w:fldChar w:fldCharType="separate"/>
      </w:r>
      <w:bookmarkStart w:id="0" w:name="RFP"/>
      <w:r w:rsidRPr="00487414">
        <w:rPr>
          <w:b/>
          <w:sz w:val="44"/>
          <w:szCs w:val="44"/>
        </w:rPr>
        <w:t>3745</w:t>
      </w:r>
      <w:bookmarkEnd w:id="0"/>
      <w:r w:rsidRPr="00487414">
        <w:rPr>
          <w:b/>
          <w:sz w:val="44"/>
          <w:szCs w:val="44"/>
        </w:rPr>
        <w:fldChar w:fldCharType="end"/>
      </w:r>
      <w:r w:rsidR="00591092">
        <w:rPr>
          <w:b/>
          <w:sz w:val="44"/>
          <w:szCs w:val="44"/>
        </w:rPr>
        <w:t>4134</w:t>
      </w:r>
    </w:p>
    <w:p w:rsidR="00487414" w:rsidRPr="00216063" w:rsidRDefault="00487414" w:rsidP="005A2860">
      <w:pPr>
        <w:jc w:val="center"/>
        <w:rPr>
          <w:b/>
          <w:sz w:val="24"/>
        </w:rPr>
      </w:pPr>
      <w:r>
        <w:rPr>
          <w:b/>
          <w:sz w:val="24"/>
        </w:rPr>
        <w:t xml:space="preserve">MISSISSIPPI </w:t>
      </w:r>
      <w:r w:rsidRPr="00216063">
        <w:rPr>
          <w:b/>
          <w:sz w:val="24"/>
        </w:rPr>
        <w:t>DEPARTMENT OF INFORMATION TECHNOLOGY SERVICES</w:t>
      </w:r>
    </w:p>
    <w:p w:rsidR="00487414" w:rsidRPr="00216063" w:rsidRDefault="00487414" w:rsidP="005A2860">
      <w:pPr>
        <w:jc w:val="center"/>
        <w:rPr>
          <w:b/>
          <w:sz w:val="24"/>
        </w:rPr>
      </w:pPr>
      <w:r w:rsidRPr="00216063">
        <w:rPr>
          <w:b/>
          <w:sz w:val="24"/>
        </w:rPr>
        <w:t>3771 Eastwood Drive</w:t>
      </w:r>
    </w:p>
    <w:p w:rsidR="00487414" w:rsidRPr="00216063" w:rsidRDefault="00487414" w:rsidP="005A2860">
      <w:pPr>
        <w:jc w:val="center"/>
        <w:rPr>
          <w:b/>
          <w:sz w:val="24"/>
        </w:rPr>
      </w:pPr>
      <w:r w:rsidRPr="00216063">
        <w:rPr>
          <w:b/>
          <w:sz w:val="24"/>
        </w:rPr>
        <w:t>Jackson, Mississippi 39211</w:t>
      </w:r>
    </w:p>
    <w:p w:rsidR="00487414" w:rsidRPr="00216063" w:rsidRDefault="00487414" w:rsidP="005A2860">
      <w:pPr>
        <w:jc w:val="center"/>
        <w:rPr>
          <w:sz w:val="24"/>
        </w:rPr>
      </w:pPr>
      <w:r w:rsidRPr="00216063">
        <w:rPr>
          <w:b/>
          <w:sz w:val="24"/>
        </w:rPr>
        <w:t>(601) 432-8000</w:t>
      </w:r>
    </w:p>
    <w:p w:rsidR="00487414" w:rsidRPr="00216063" w:rsidRDefault="00487414" w:rsidP="00487414"/>
    <w:p w:rsidR="00487414" w:rsidRPr="0084652C" w:rsidRDefault="00487414" w:rsidP="00C04552">
      <w:pPr>
        <w:jc w:val="both"/>
      </w:pPr>
      <w:r w:rsidRPr="00216063">
        <w:rPr>
          <w:b/>
        </w:rPr>
        <w:t>INVITATION:</w:t>
      </w:r>
      <w:r w:rsidRPr="00216063">
        <w:t xml:space="preserve"> Sealed bids, subject to the conditions herein stated and attached hereto, will be received at this office </w:t>
      </w:r>
      <w:r w:rsidRPr="00216063">
        <w:rPr>
          <w:b/>
        </w:rPr>
        <w:t>until 3:00 p.m. Central Time</w:t>
      </w:r>
      <w:r w:rsidRPr="00216063">
        <w:t xml:space="preserve"> on </w:t>
      </w:r>
      <w:r w:rsidR="00E223F4">
        <w:rPr>
          <w:b/>
        </w:rPr>
        <w:t>Thursday</w:t>
      </w:r>
      <w:r w:rsidR="00471E13">
        <w:rPr>
          <w:b/>
        </w:rPr>
        <w:t xml:space="preserve">, October </w:t>
      </w:r>
      <w:r w:rsidR="00E223F4">
        <w:rPr>
          <w:b/>
        </w:rPr>
        <w:t>25</w:t>
      </w:r>
      <w:r w:rsidR="00471E13">
        <w:rPr>
          <w:b/>
        </w:rPr>
        <w:t xml:space="preserve">, 2018 </w:t>
      </w:r>
      <w:r w:rsidRPr="00216063">
        <w:t>and then publicly opened</w:t>
      </w:r>
      <w:r w:rsidR="00EC257A">
        <w:t xml:space="preserve"> </w:t>
      </w:r>
      <w:r w:rsidR="00BE21AB">
        <w:t xml:space="preserve">for </w:t>
      </w:r>
      <w:r w:rsidRPr="00216063">
        <w:t xml:space="preserve">the </w:t>
      </w:r>
      <w:r w:rsidR="00AE5939">
        <w:t xml:space="preserve">system and </w:t>
      </w:r>
      <w:r w:rsidRPr="00216063">
        <w:t xml:space="preserve">services as described below for </w:t>
      </w:r>
      <w:r w:rsidR="00B66F59" w:rsidRPr="0084652C">
        <w:t xml:space="preserve">the Mississippi Department of </w:t>
      </w:r>
      <w:r w:rsidR="00591092">
        <w:t>Transportation</w:t>
      </w:r>
      <w:r w:rsidR="00BE21AB">
        <w:t xml:space="preserve"> (MDOT)</w:t>
      </w:r>
      <w:r w:rsidR="00B66F59" w:rsidRPr="0084652C">
        <w:t xml:space="preserve">. </w:t>
      </w:r>
    </w:p>
    <w:p w:rsidR="00191B60" w:rsidRPr="00191B60" w:rsidRDefault="00191B60" w:rsidP="00487414">
      <w:pPr>
        <w:rPr>
          <w:highlight w:val="yellow"/>
        </w:rPr>
      </w:pPr>
    </w:p>
    <w:p w:rsidR="00487414" w:rsidRPr="00216063" w:rsidRDefault="00487414" w:rsidP="00487414">
      <w:r w:rsidRPr="00216063">
        <w:t>DESCRIPTION</w:t>
      </w:r>
    </w:p>
    <w:p w:rsidR="00487414" w:rsidRPr="00216063" w:rsidRDefault="00487414" w:rsidP="00487414">
      <w:r w:rsidRPr="00216063">
        <w:rPr>
          <w:noProof/>
        </w:rPr>
        <mc:AlternateContent>
          <mc:Choice Requires="wps">
            <w:drawing>
              <wp:anchor distT="0" distB="0" distL="114300" distR="114300" simplePos="0" relativeHeight="251659264" behindDoc="1" locked="1" layoutInCell="0" allowOverlap="1" wp14:anchorId="63317EAD" wp14:editId="7CD592AD">
                <wp:simplePos x="0" y="0"/>
                <wp:positionH relativeFrom="page">
                  <wp:posOffset>914400</wp:posOffset>
                </wp:positionH>
                <wp:positionV relativeFrom="paragraph">
                  <wp:posOffset>0</wp:posOffset>
                </wp:positionV>
                <wp:extent cx="5943600" cy="12065"/>
                <wp:effectExtent l="0" t="0" r="19050" b="260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49FD"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" o:allowincell="f" fillcolor="black" strokeweight="1pt">
                <w10:wrap anchorx="page"/>
                <w10:anchorlock/>
              </v:rect>
            </w:pict>
          </mc:Fallback>
        </mc:AlternateContent>
      </w:r>
    </w:p>
    <w:p w:rsidR="00487414" w:rsidRPr="0084652C" w:rsidRDefault="00591092" w:rsidP="00487414">
      <w:r>
        <w:t>Mass Notification Management System</w:t>
      </w:r>
      <w:r w:rsidR="00487414" w:rsidRPr="0084652C">
        <w:t xml:space="preserve"> for the Mississippi Department of </w:t>
      </w:r>
      <w:r>
        <w:t xml:space="preserve">Transportation </w:t>
      </w:r>
      <w:r w:rsidR="00B66F59" w:rsidRPr="0084652C">
        <w:t>(</w:t>
      </w:r>
      <w:r>
        <w:t>MDOT</w:t>
      </w:r>
      <w:r w:rsidR="00B66F59" w:rsidRPr="0084652C">
        <w:t>)</w:t>
      </w:r>
      <w:r w:rsidR="00493DEE">
        <w:t>:</w:t>
      </w:r>
    </w:p>
    <w:p w:rsidR="00C16533" w:rsidRPr="0084652C" w:rsidRDefault="00C16533" w:rsidP="00487414"/>
    <w:p w:rsidR="00487414" w:rsidRPr="0084652C" w:rsidRDefault="00487414" w:rsidP="00BE21AB">
      <w:r w:rsidRPr="0084652C">
        <w:t>Bidder Information</w:t>
      </w:r>
    </w:p>
    <w:p w:rsidR="00D85A97" w:rsidRPr="0084652C" w:rsidRDefault="00D85A97" w:rsidP="0079657C">
      <w:pPr>
        <w:ind w:left="720" w:hanging="450"/>
      </w:pPr>
      <w:r w:rsidRPr="0084652C">
        <w:t xml:space="preserve">Attachment </w:t>
      </w:r>
      <w:r w:rsidR="00BE21AB">
        <w:t>A</w:t>
      </w:r>
      <w:r w:rsidRPr="0084652C">
        <w:t xml:space="preserve">:  </w:t>
      </w:r>
      <w:r w:rsidR="00DC2A41" w:rsidRPr="0084652C">
        <w:t xml:space="preserve">Bid </w:t>
      </w:r>
      <w:r w:rsidR="009A0EB9">
        <w:t xml:space="preserve">and Specifications </w:t>
      </w:r>
    </w:p>
    <w:p w:rsidR="00487414" w:rsidRDefault="00EC0782" w:rsidP="0079657C">
      <w:pPr>
        <w:ind w:left="720" w:hanging="450"/>
      </w:pPr>
      <w:r>
        <w:t xml:space="preserve">Attachment </w:t>
      </w:r>
      <w:r w:rsidR="00BE21AB">
        <w:t>B</w:t>
      </w:r>
      <w:r w:rsidR="00487414" w:rsidRPr="0084652C">
        <w:t xml:space="preserve">:  </w:t>
      </w:r>
      <w:r w:rsidR="00323743" w:rsidRPr="0084652C">
        <w:t>Reference Form</w:t>
      </w:r>
    </w:p>
    <w:p w:rsidR="00445373" w:rsidRDefault="00EC0782" w:rsidP="00445373">
      <w:pPr>
        <w:ind w:left="720" w:hanging="450"/>
      </w:pPr>
      <w:r>
        <w:t xml:space="preserve">Attachment </w:t>
      </w:r>
      <w:r w:rsidR="00BE21AB">
        <w:t>C</w:t>
      </w:r>
      <w:r w:rsidR="00445373">
        <w:t xml:space="preserve">:  </w:t>
      </w:r>
      <w:r w:rsidR="00445373" w:rsidRPr="00216063">
        <w:rPr>
          <w:color w:val="000000"/>
        </w:rPr>
        <w:t>Exception Summary Form</w:t>
      </w:r>
    </w:p>
    <w:p w:rsidR="00445373" w:rsidRPr="0084652C" w:rsidRDefault="00EC0782" w:rsidP="0079657C">
      <w:pPr>
        <w:ind w:left="720" w:hanging="450"/>
      </w:pPr>
      <w:r>
        <w:t xml:space="preserve">Attachment </w:t>
      </w:r>
      <w:r w:rsidR="00BE21AB">
        <w:t>D</w:t>
      </w:r>
      <w:r>
        <w:t>:</w:t>
      </w:r>
      <w:r w:rsidR="0009146D">
        <w:t xml:space="preserve"> </w:t>
      </w:r>
      <w:r w:rsidR="00493DEE">
        <w:t xml:space="preserve"> </w:t>
      </w:r>
      <w:r w:rsidR="0009146D" w:rsidRPr="00466A09">
        <w:t xml:space="preserve">Standard </w:t>
      </w:r>
      <w:r w:rsidR="009A0EB9">
        <w:t>Software as a</w:t>
      </w:r>
      <w:r w:rsidR="00557C5B">
        <w:t xml:space="preserve"> Service</w:t>
      </w:r>
      <w:r w:rsidR="00471E13">
        <w:t xml:space="preserve"> </w:t>
      </w:r>
      <w:r w:rsidR="0009146D" w:rsidRPr="00466A09">
        <w:t>Agreement</w:t>
      </w:r>
    </w:p>
    <w:p w:rsidR="00487414" w:rsidRPr="00216063" w:rsidRDefault="00487414" w:rsidP="00487414">
      <w:r w:rsidRPr="00216063">
        <w:rPr>
          <w:noProof/>
        </w:rPr>
        <mc:AlternateContent>
          <mc:Choice Requires="wps">
            <w:drawing>
              <wp:anchor distT="0" distB="0" distL="114300" distR="114300" simplePos="0" relativeHeight="251660288" behindDoc="1" locked="1" layoutInCell="0" allowOverlap="1" wp14:anchorId="28690344" wp14:editId="5FAF0A76">
                <wp:simplePos x="0" y="0"/>
                <wp:positionH relativeFrom="page">
                  <wp:posOffset>914400</wp:posOffset>
                </wp:positionH>
                <wp:positionV relativeFrom="paragraph">
                  <wp:posOffset>84455</wp:posOffset>
                </wp:positionV>
                <wp:extent cx="5943600" cy="12065"/>
                <wp:effectExtent l="0" t="0" r="1905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EEE7" id="Rectangle 3" o:spid="_x0000_s1026" style="position:absolute;margin-left:1in;margin-top:6.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" o:allowincell="f" fillcolor="black" strokeweight="1pt">
                <w10:wrap anchorx="page"/>
                <w10:anchorlock/>
              </v:rect>
            </w:pict>
          </mc:Fallback>
        </mc:AlternateContent>
      </w:r>
    </w:p>
    <w:p w:rsidR="00487414" w:rsidRPr="00216063" w:rsidRDefault="00487414" w:rsidP="00487414">
      <w:r w:rsidRPr="00216063">
        <w:t xml:space="preserve"> Bidder must submit bid and attachments to:</w:t>
      </w:r>
    </w:p>
    <w:p w:rsidR="00487414" w:rsidRPr="00216063" w:rsidRDefault="00487414" w:rsidP="00487414"/>
    <w:p w:rsidR="00487414" w:rsidRPr="00020BA1" w:rsidRDefault="00487414" w:rsidP="008B4A9D">
      <w:pPr>
        <w:jc w:val="center"/>
        <w:rPr>
          <w:color w:val="000000" w:themeColor="text1"/>
          <w14:textOutline w14:w="12700" w14:cap="rnd" w14:cmpd="sng" w14:algn="ctr">
            <w14:solidFill>
              <w14:schemeClr w14:val="accent1"/>
            </w14:solidFill>
            <w14:prstDash w14:val="solid"/>
            <w14:bevel/>
          </w14:textOutline>
        </w:rPr>
      </w:pPr>
      <w:r w:rsidRPr="00216063">
        <w:t xml:space="preserve">Attn: </w:t>
      </w:r>
      <w:r w:rsidR="00591092">
        <w:t>Jordan Barber</w:t>
      </w:r>
    </w:p>
    <w:p w:rsidR="00487414" w:rsidRPr="00216063" w:rsidRDefault="00487414" w:rsidP="008B4A9D">
      <w:pPr>
        <w:jc w:val="center"/>
      </w:pPr>
      <w:r w:rsidRPr="00216063">
        <w:t>Technology Consultant</w:t>
      </w:r>
    </w:p>
    <w:p w:rsidR="00487414" w:rsidRPr="00216063" w:rsidRDefault="00487414" w:rsidP="008B4A9D">
      <w:pPr>
        <w:jc w:val="center"/>
      </w:pPr>
      <w:r w:rsidRPr="00216063">
        <w:t>Dept. of Information Technology Services</w:t>
      </w:r>
    </w:p>
    <w:p w:rsidR="00487414" w:rsidRPr="00216063" w:rsidRDefault="00487414" w:rsidP="008B4A9D">
      <w:pPr>
        <w:jc w:val="center"/>
      </w:pPr>
      <w:r w:rsidRPr="00216063">
        <w:t>3771 Eastwood Drive</w:t>
      </w:r>
    </w:p>
    <w:p w:rsidR="00487414" w:rsidRPr="00216063" w:rsidRDefault="00487414" w:rsidP="008B4A9D">
      <w:pPr>
        <w:jc w:val="center"/>
      </w:pPr>
      <w:r w:rsidRPr="00216063">
        <w:t>Jackson, MS 39211</w:t>
      </w:r>
    </w:p>
    <w:p w:rsidR="00487414" w:rsidRDefault="00487414" w:rsidP="008B4A9D">
      <w:pPr>
        <w:jc w:val="center"/>
      </w:pPr>
      <w:r w:rsidRPr="00216063">
        <w:t>(601) 432-</w:t>
      </w:r>
      <w:r w:rsidR="00591092">
        <w:t>8005</w:t>
      </w:r>
    </w:p>
    <w:p w:rsidR="00BE21AB" w:rsidRPr="00216063" w:rsidRDefault="00BE21AB" w:rsidP="008B4A9D">
      <w:pPr>
        <w:jc w:val="center"/>
      </w:pPr>
      <w:r>
        <w:t>jordan.barber@its.ms.gov</w:t>
      </w:r>
    </w:p>
    <w:p w:rsidR="00487414" w:rsidRPr="00216063" w:rsidRDefault="00487414" w:rsidP="00487414"/>
    <w:p w:rsidR="00487414" w:rsidRPr="00216063" w:rsidRDefault="00487414" w:rsidP="00487414">
      <w:r w:rsidRPr="00216063">
        <w:t xml:space="preserve">To prevent opening by unauthorized individuals, your bid should be placed in a sealed envelope and plainly identified as follows: </w:t>
      </w:r>
    </w:p>
    <w:p w:rsidR="00487414" w:rsidRPr="00216063" w:rsidRDefault="00487414" w:rsidP="00487414"/>
    <w:p w:rsidR="00487414" w:rsidRPr="00216063" w:rsidRDefault="00487414" w:rsidP="00487414">
      <w:pPr>
        <w:rPr>
          <w:color w:val="000000"/>
        </w:rPr>
      </w:pPr>
      <w:r w:rsidRPr="00216063">
        <w:t xml:space="preserve">SUBMITTED IN RESPONSE TO </w:t>
      </w:r>
      <w:r>
        <w:t>INVITATION</w:t>
      </w:r>
      <w:r w:rsidRPr="00216063">
        <w:t xml:space="preserve"> FOR BID NUMBER </w:t>
      </w:r>
      <w:r w:rsidR="00591092">
        <w:rPr>
          <w:color w:val="000000"/>
        </w:rPr>
        <w:t>4134</w:t>
      </w:r>
      <w:r w:rsidRPr="00216063">
        <w:rPr>
          <w:color w:val="000000"/>
        </w:rPr>
        <w:t>.</w:t>
      </w:r>
    </w:p>
    <w:p w:rsidR="00C16533" w:rsidRDefault="00C16533" w:rsidP="00487414"/>
    <w:p w:rsidR="005A2860" w:rsidRDefault="005A2860" w:rsidP="00487414"/>
    <w:p w:rsidR="00C16533" w:rsidRPr="00216063" w:rsidRDefault="00C16533" w:rsidP="004874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035"/>
      </w:tblGrid>
      <w:tr w:rsidR="00C16533" w:rsidTr="00C16533">
        <w:tc>
          <w:tcPr>
            <w:tcW w:w="5035" w:type="dxa"/>
          </w:tcPr>
          <w:p w:rsidR="00C16533" w:rsidRDefault="00C16533">
            <w:r>
              <w:t xml:space="preserve">Craig P. </w:t>
            </w:r>
            <w:proofErr w:type="spellStart"/>
            <w:r>
              <w:t>Orgeron</w:t>
            </w:r>
            <w:proofErr w:type="spellEnd"/>
            <w:r>
              <w:t>, Executive Director</w:t>
            </w:r>
          </w:p>
        </w:tc>
      </w:tr>
    </w:tbl>
    <w:p w:rsidR="00B51628" w:rsidRDefault="00B51628">
      <w:pPr>
        <w:spacing w:after="160" w:line="259" w:lineRule="auto"/>
        <w:sectPr w:rsidR="00B51628" w:rsidSect="00AA4BBE">
          <w:headerReference w:type="default" r:id="rId9"/>
          <w:type w:val="continuous"/>
          <w:pgSz w:w="12240" w:h="15840" w:code="1"/>
          <w:pgMar w:top="1440" w:right="1440" w:bottom="1440" w:left="1440" w:header="720" w:footer="720" w:gutter="0"/>
          <w:cols w:space="720"/>
          <w:docGrid w:linePitch="360"/>
        </w:sectPr>
      </w:pPr>
    </w:p>
    <w:p w:rsidR="00E85560" w:rsidRDefault="00DC2A41" w:rsidP="00094815">
      <w:pPr>
        <w:pStyle w:val="TextL1"/>
      </w:pPr>
      <w:r>
        <w:lastRenderedPageBreak/>
        <w:t>General</w:t>
      </w:r>
      <w:r w:rsidR="00180218" w:rsidRPr="00180218">
        <w:t xml:space="preserve"> </w:t>
      </w:r>
      <w:r>
        <w:t>Terms and Provisions</w:t>
      </w:r>
    </w:p>
    <w:p w:rsidR="00180218" w:rsidRDefault="00180218" w:rsidP="00C04552">
      <w:pPr>
        <w:pStyle w:val="TextL2"/>
        <w:jc w:val="both"/>
      </w:pPr>
      <w:r w:rsidRPr="00C0037C">
        <w:t>Bidders</w:t>
      </w:r>
      <w:r>
        <w:t xml:space="preserve"> are </w:t>
      </w:r>
      <w:r w:rsidRPr="00216B80">
        <w:t>expected</w:t>
      </w:r>
      <w:r>
        <w:t xml:space="preserve"> to examine all documents, forms, specifications, standard provisions</w:t>
      </w:r>
      <w:r w:rsidR="00371CB5">
        <w:t>, special provisions</w:t>
      </w:r>
      <w:r>
        <w:t xml:space="preserve"> and all instructions. Failure to do so will be at the bidder’s risk.</w:t>
      </w:r>
    </w:p>
    <w:p w:rsidR="00180218" w:rsidRDefault="00180218" w:rsidP="00C04552">
      <w:pPr>
        <w:pStyle w:val="TextL2"/>
        <w:jc w:val="both"/>
      </w:pPr>
      <w:r>
        <w:t>Any bid not received in writing at this office by the date and time specified will be declared a late bid. The State will not be responsible for any delays in delivery. It is solely the responsibility of the bidder that bids reach the opening on time. Any bid received after closing time will be returned unopened.</w:t>
      </w:r>
    </w:p>
    <w:p w:rsidR="00180218" w:rsidRDefault="00180218" w:rsidP="00C04552">
      <w:pPr>
        <w:pStyle w:val="TextL2"/>
        <w:jc w:val="both"/>
      </w:pPr>
      <w:r>
        <w:t>Bids or alterations by fax, e-mail</w:t>
      </w:r>
      <w:r w:rsidR="00BE21AB">
        <w:t>,</w:t>
      </w:r>
      <w:r>
        <w:t xml:space="preserve"> or phone will not be accepted.</w:t>
      </w:r>
    </w:p>
    <w:p w:rsidR="00180218" w:rsidRDefault="00180218" w:rsidP="00C04552">
      <w:pPr>
        <w:pStyle w:val="TextL2"/>
        <w:jc w:val="both"/>
      </w:pPr>
      <w:r>
        <w:t>All bid openings are open to the public. The ITS staff will rea</w:t>
      </w:r>
      <w:r w:rsidR="00AE5939">
        <w:t xml:space="preserve">d the name of bidder responding, along with the </w:t>
      </w:r>
      <w:r w:rsidR="00BE21AB">
        <w:t>total bid price</w:t>
      </w:r>
      <w:r w:rsidR="00AE5939">
        <w:t>.</w:t>
      </w:r>
    </w:p>
    <w:p w:rsidR="00180218" w:rsidRDefault="00180218" w:rsidP="00C04552">
      <w:pPr>
        <w:pStyle w:val="TextL2"/>
        <w:jc w:val="both"/>
      </w:pPr>
      <w:r>
        <w:t>All disclosures of bid information to interested parties will be made in compliance with ITS policies and procedures established in accordance with the Mississippi Public Records Act of 1983 defined in Section 25-61-1 et seq. of the Mississippi Code.</w:t>
      </w:r>
    </w:p>
    <w:p w:rsidR="00180218" w:rsidRDefault="00180218" w:rsidP="00C04552">
      <w:pPr>
        <w:pStyle w:val="TextL2"/>
        <w:jc w:val="both"/>
      </w:pPr>
      <w:r>
        <w:t>No negotiations, decisions, or actions shall be executed by any bidder as a result of any discussions with any state employee. Only transactions which are in writing from ITS may be considered official.</w:t>
      </w:r>
    </w:p>
    <w:p w:rsidR="00466A09" w:rsidRDefault="00180218" w:rsidP="005E16A0">
      <w:pPr>
        <w:pStyle w:val="TextL2"/>
        <w:jc w:val="both"/>
      </w:pPr>
      <w:r>
        <w:t>ITS reserves the right to reject any and all bids</w:t>
      </w:r>
      <w:r w:rsidR="00BE21AB">
        <w:t>, including those with exceptions,</w:t>
      </w:r>
      <w:r>
        <w:t xml:space="preserve"> and to waive any defect or informality in any bid or bid procedure.</w:t>
      </w:r>
    </w:p>
    <w:p w:rsidR="00180218" w:rsidRDefault="00180218" w:rsidP="00C04552">
      <w:pPr>
        <w:pStyle w:val="TextL2"/>
        <w:jc w:val="both"/>
      </w:pPr>
      <w:r>
        <w:t xml:space="preserve">Bidder must provide three (3) verifiable references for projects </w:t>
      </w:r>
      <w:r w:rsidR="005A2860">
        <w:t>of</w:t>
      </w:r>
      <w:r>
        <w:t xml:space="preserve"> similar size and scope. Required information includes name, address, telephone number, and length of time the account has been a reference. A Reference Form for providing reference information is included in Attachment </w:t>
      </w:r>
      <w:r w:rsidR="00BE21AB">
        <w:t>B</w:t>
      </w:r>
      <w:r>
        <w:t>. The Bidder must make arrangements in advance with the account references so that they may be contacted at the Project team's convenience without further clearance or Bidder intercession. Failure to provide this information in the manner described may subject the Bidder’s proposal to being rated unfavorably relative to these criteria or disqualified altogether at the State’s sole discretion.</w:t>
      </w:r>
    </w:p>
    <w:p w:rsidR="00180218" w:rsidRDefault="00180218" w:rsidP="00C04552">
      <w:pPr>
        <w:ind w:left="990"/>
        <w:jc w:val="both"/>
      </w:pPr>
      <w:r>
        <w:t>References should be based on the following profiles and be able to substantiate the following information from both management and technical viewpoints:</w:t>
      </w:r>
    </w:p>
    <w:p w:rsidR="00180218" w:rsidRDefault="00180218" w:rsidP="00C04552">
      <w:pPr>
        <w:ind w:left="810" w:hanging="450"/>
        <w:jc w:val="both"/>
      </w:pPr>
    </w:p>
    <w:p w:rsidR="00180218" w:rsidRDefault="00180218" w:rsidP="00C04552">
      <w:pPr>
        <w:pStyle w:val="TextL3"/>
        <w:tabs>
          <w:tab w:val="left" w:pos="1440"/>
        </w:tabs>
        <w:ind w:left="1440" w:hanging="450"/>
        <w:jc w:val="both"/>
      </w:pPr>
      <w:r w:rsidRPr="00180218">
        <w:rPr>
          <w:rStyle w:val="TableL3Char"/>
        </w:rPr>
        <w:t xml:space="preserve">The </w:t>
      </w:r>
      <w:r w:rsidRPr="00B62AB2">
        <w:rPr>
          <w:rStyle w:val="TableL3Char"/>
        </w:rPr>
        <w:t>reference</w:t>
      </w:r>
      <w:r w:rsidRPr="00180218">
        <w:rPr>
          <w:rStyle w:val="TableL3Char"/>
        </w:rPr>
        <w:t xml:space="preserve"> </w:t>
      </w:r>
      <w:r w:rsidRPr="00FE684A">
        <w:t>installation</w:t>
      </w:r>
      <w:r w:rsidRPr="00180218">
        <w:rPr>
          <w:rStyle w:val="TableL3Char"/>
        </w:rPr>
        <w:t xml:space="preserve"> product/service must be configured similarly or identically to this IFB;</w:t>
      </w:r>
      <w:r>
        <w:t xml:space="preserve"> and</w:t>
      </w:r>
    </w:p>
    <w:p w:rsidR="00180218" w:rsidRDefault="00180218" w:rsidP="00C04552">
      <w:pPr>
        <w:pStyle w:val="TextL3"/>
        <w:tabs>
          <w:tab w:val="left" w:pos="1440"/>
        </w:tabs>
        <w:ind w:left="1440" w:hanging="450"/>
        <w:jc w:val="both"/>
      </w:pPr>
      <w:r>
        <w:t>The reference installation must have been operational for at least six (6) months.</w:t>
      </w:r>
    </w:p>
    <w:p w:rsidR="00180218" w:rsidRPr="0079657C" w:rsidRDefault="00180218" w:rsidP="00C04552">
      <w:pPr>
        <w:pStyle w:val="TextL2"/>
        <w:jc w:val="both"/>
      </w:pPr>
      <w:r w:rsidRPr="0079657C">
        <w:t>All bid material submitted in writing shall become the property of the State</w:t>
      </w:r>
      <w:r w:rsidR="00371CB5">
        <w:t xml:space="preserve"> of Mississippi</w:t>
      </w:r>
      <w:r w:rsidRPr="0079657C">
        <w:t>.</w:t>
      </w:r>
    </w:p>
    <w:p w:rsidR="00216B80" w:rsidRPr="00094815" w:rsidRDefault="00180218" w:rsidP="00C04552">
      <w:pPr>
        <w:pStyle w:val="TextL2"/>
        <w:jc w:val="both"/>
      </w:pPr>
      <w:r w:rsidRPr="00094815">
        <w:t>Expenses for the development and delivery of bids are entirely the responsibility of the bidder and shall not be chargeable to the State.</w:t>
      </w:r>
    </w:p>
    <w:p w:rsidR="00AE5939" w:rsidRPr="00094815" w:rsidRDefault="00DC2A41" w:rsidP="00C04552">
      <w:pPr>
        <w:pStyle w:val="TextL2"/>
        <w:jc w:val="both"/>
      </w:pPr>
      <w:r w:rsidRPr="00094815">
        <w:lastRenderedPageBreak/>
        <w:t xml:space="preserve">All submitted bids must show the net bid price after any and all allowable discounts have been deducted.  </w:t>
      </w:r>
    </w:p>
    <w:p w:rsidR="00B75141" w:rsidRPr="00094815" w:rsidRDefault="00DC2A41" w:rsidP="00C04552">
      <w:pPr>
        <w:pStyle w:val="TextL2"/>
        <w:jc w:val="both"/>
      </w:pPr>
      <w:r w:rsidRPr="00094815">
        <w:t xml:space="preserve">State sales tax and federal excise taxes shall not be included as </w:t>
      </w:r>
      <w:r w:rsidR="00872E9E">
        <w:t>MDOT</w:t>
      </w:r>
      <w:r w:rsidRPr="00094815">
        <w:t xml:space="preserve"> is tax exempt for materials sold directly to them.</w:t>
      </w:r>
    </w:p>
    <w:p w:rsidR="00DC2A41" w:rsidRPr="0079657C" w:rsidRDefault="00DC2A41" w:rsidP="00C04552">
      <w:pPr>
        <w:pStyle w:val="TextL2"/>
        <w:jc w:val="both"/>
      </w:pPr>
      <w:r w:rsidRPr="0079657C">
        <w:t xml:space="preserve">When errors are found in the extension of bid prices, the unit price will </w:t>
      </w:r>
      <w:r w:rsidRPr="00BA6D6F">
        <w:t>govern</w:t>
      </w:r>
      <w:r w:rsidRPr="0079657C">
        <w:t>.  Bids having erasures or corrections must be initialed in ink by the bidder.</w:t>
      </w:r>
    </w:p>
    <w:p w:rsidR="00DC2A41" w:rsidRPr="0079657C" w:rsidRDefault="00DC2A41" w:rsidP="00C04552">
      <w:pPr>
        <w:pStyle w:val="TextL2"/>
        <w:jc w:val="both"/>
      </w:pPr>
      <w:r w:rsidRPr="0079657C">
        <w:t>The successful bidder will immediately replace missing or damaged items and will be responsible for making any and all claims against carriers.</w:t>
      </w:r>
    </w:p>
    <w:p w:rsidR="00DC2A41" w:rsidRDefault="00DC2A41" w:rsidP="00C04552">
      <w:pPr>
        <w:pStyle w:val="TextL2"/>
        <w:jc w:val="both"/>
      </w:pPr>
      <w:r w:rsidRPr="0079657C">
        <w:t xml:space="preserve">Bidder certifies that all material, equipment, etc., contained in </w:t>
      </w:r>
      <w:r w:rsidR="002C499B">
        <w:t>the</w:t>
      </w:r>
      <w:r w:rsidRPr="0079657C">
        <w:t xml:space="preserve"> bid meets all </w:t>
      </w:r>
      <w:r w:rsidR="00B51628">
        <w:t>Occupational Safety and Health Act (</w:t>
      </w:r>
      <w:r w:rsidRPr="0079657C">
        <w:t>OSHA</w:t>
      </w:r>
      <w:r w:rsidR="00B51628">
        <w:t>)</w:t>
      </w:r>
      <w:r w:rsidRPr="0079657C">
        <w:t xml:space="preserve"> requirements.</w:t>
      </w:r>
    </w:p>
    <w:p w:rsidR="00445373" w:rsidRPr="00216063" w:rsidRDefault="00445373" w:rsidP="00445373">
      <w:pPr>
        <w:pStyle w:val="TextL2"/>
        <w:jc w:val="both"/>
      </w:pPr>
      <w:r w:rsidRPr="00216063">
        <w:t xml:space="preserve">A properly executed contract is a requirement of this </w:t>
      </w:r>
      <w:r>
        <w:t>IFB</w:t>
      </w:r>
      <w:r w:rsidRPr="00216063">
        <w:t xml:space="preserve">.  After an award has been made, it will be necessary for the winning Bidder to execute a </w:t>
      </w:r>
      <w:r w:rsidRPr="00216063">
        <w:rPr>
          <w:iCs/>
        </w:rPr>
        <w:t>contract</w:t>
      </w:r>
      <w:r w:rsidRPr="00216063">
        <w:t xml:space="preserve"> with </w:t>
      </w:r>
      <w:r w:rsidRPr="0071137D">
        <w:rPr>
          <w:bCs/>
        </w:rPr>
        <w:t>ITS</w:t>
      </w:r>
      <w:r w:rsidRPr="0071137D">
        <w:t>.</w:t>
      </w:r>
      <w:r w:rsidRPr="00216063">
        <w:t xml:space="preserve">  The inclusion of this contract does not preclude </w:t>
      </w:r>
      <w:proofErr w:type="gramStart"/>
      <w:r w:rsidRPr="0071137D">
        <w:rPr>
          <w:bCs/>
        </w:rPr>
        <w:t>ITS</w:t>
      </w:r>
      <w:proofErr w:type="gramEnd"/>
      <w:r w:rsidRPr="0071137D">
        <w:t xml:space="preserve"> </w:t>
      </w:r>
      <w:r w:rsidRPr="00216063">
        <w:t xml:space="preserve">from, at its sole discretion, negotiating additional terms and conditions with the selected </w:t>
      </w:r>
      <w:r w:rsidR="00493DEE">
        <w:t>Bidder</w:t>
      </w:r>
      <w:r w:rsidRPr="00216063">
        <w:t xml:space="preserve">(s) specific to the projects covered by this </w:t>
      </w:r>
      <w:r>
        <w:t>IFB</w:t>
      </w:r>
      <w:r w:rsidRPr="00216063">
        <w:t>.</w:t>
      </w:r>
    </w:p>
    <w:p w:rsidR="00445373" w:rsidRDefault="00445373" w:rsidP="0009146D">
      <w:pPr>
        <w:pStyle w:val="TextL2"/>
        <w:jc w:val="both"/>
        <w:rPr>
          <w:color w:val="000000"/>
        </w:rPr>
      </w:pPr>
      <w:r w:rsidRPr="00216063">
        <w:t>If Bidder cannot comply with any term or condition of this Standard Contract, Bidder must list and explain each specific exception on the Exception Summa</w:t>
      </w:r>
      <w:r w:rsidR="00493DEE">
        <w:t xml:space="preserve">ry Form included in Attachment </w:t>
      </w:r>
      <w:r w:rsidR="00BE21AB">
        <w:t>C</w:t>
      </w:r>
      <w:r w:rsidRPr="00216063">
        <w:t xml:space="preserve">.  </w:t>
      </w:r>
      <w:r w:rsidRPr="00216063">
        <w:rPr>
          <w:color w:val="000000"/>
        </w:rPr>
        <w:t xml:space="preserve">If no Exception Summary Form is included, the Bidder is indicating that he takes no exceptions. Bidders who fail to take exception to any point in the </w:t>
      </w:r>
      <w:r>
        <w:rPr>
          <w:color w:val="000000"/>
        </w:rPr>
        <w:t>IFB</w:t>
      </w:r>
      <w:r w:rsidRPr="00216063">
        <w:rPr>
          <w:color w:val="000000"/>
        </w:rPr>
        <w:t xml:space="preserve"> or the Standard Contract may not later do so during contract negotiations.</w:t>
      </w:r>
    </w:p>
    <w:p w:rsidR="009A0EB9" w:rsidRPr="009A0EB9" w:rsidRDefault="009A0EB9" w:rsidP="0009146D">
      <w:pPr>
        <w:pStyle w:val="TextL2"/>
        <w:jc w:val="both"/>
        <w:rPr>
          <w:color w:val="000000"/>
        </w:rPr>
      </w:pPr>
      <w:r w:rsidRPr="00AC3769">
        <w:t xml:space="preserve">Any solution or service proposed in response to this </w:t>
      </w:r>
      <w:r w:rsidR="00621560">
        <w:t>bid</w:t>
      </w:r>
      <w:r w:rsidRPr="00AC3769">
        <w:t xml:space="preserve">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w:t>
      </w:r>
      <w:r w:rsidR="00621560">
        <w:t>b</w:t>
      </w:r>
      <w:r>
        <w:t>id</w:t>
      </w:r>
      <w:r w:rsidRPr="00AC3769">
        <w:t xml:space="preserve">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in</w:t>
      </w:r>
      <w:r w:rsidR="00BE21AB">
        <w:t xml:space="preserve"> Item</w:t>
      </w:r>
      <w:r w:rsidRPr="00AC3769">
        <w:t xml:space="preserve"> </w:t>
      </w:r>
      <w:r w:rsidRPr="00621560">
        <w:t xml:space="preserve">20 </w:t>
      </w:r>
      <w:r w:rsidRPr="00AC3769">
        <w:t>below</w:t>
      </w:r>
      <w:r>
        <w:t>.</w:t>
      </w:r>
    </w:p>
    <w:p w:rsidR="009A0EB9" w:rsidRPr="00AC3769" w:rsidRDefault="009A0EB9" w:rsidP="009A0EB9">
      <w:pPr>
        <w:pStyle w:val="TextL2"/>
        <w:jc w:val="both"/>
      </w:pPr>
      <w:r w:rsidRPr="00AC3769">
        <w:t xml:space="preserve">Any cloud or vendor-hosted solution proposed in response to this </w:t>
      </w:r>
      <w:r>
        <w:t>Bid</w:t>
      </w:r>
      <w:r w:rsidRPr="00AC3769">
        <w:t xml:space="preserve">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w:t>
      </w:r>
      <w:r w:rsidR="00621560">
        <w:t>bid</w:t>
      </w:r>
      <w:r w:rsidRPr="00AC3769">
        <w:t xml:space="preserve">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in </w:t>
      </w:r>
      <w:r w:rsidR="00BE21AB">
        <w:t xml:space="preserve">Item </w:t>
      </w:r>
      <w:r w:rsidRPr="00621560">
        <w:t>20</w:t>
      </w:r>
      <w:r w:rsidRPr="00AC3769">
        <w:t xml:space="preserve"> below.</w:t>
      </w:r>
    </w:p>
    <w:p w:rsidR="009A0EB9" w:rsidRDefault="009A0EB9" w:rsidP="00621560">
      <w:pPr>
        <w:pStyle w:val="TextL2"/>
        <w:jc w:val="both"/>
      </w:pPr>
      <w:r w:rsidRPr="0031335D">
        <w:lastRenderedPageBreak/>
        <w:t xml:space="preserve">The State contact person for the selection process is:  </w:t>
      </w:r>
      <w:r w:rsidR="00621560">
        <w:t xml:space="preserve">Jordan Barber, </w:t>
      </w:r>
      <w:r w:rsidRPr="0031335D">
        <w:t>Technology Consultant, 3771 Eastwood Drive, Jackson, Mississippi 39211, 601-432-</w:t>
      </w:r>
      <w:r w:rsidR="00621560">
        <w:t>800, jordan.barber</w:t>
      </w:r>
      <w:r w:rsidRPr="0031335D">
        <w:t>@its.ms.gov</w:t>
      </w:r>
    </w:p>
    <w:p w:rsidR="00C15F82" w:rsidRPr="0071137D" w:rsidRDefault="00493DEE" w:rsidP="0009146D">
      <w:pPr>
        <w:pStyle w:val="TextL2"/>
        <w:jc w:val="both"/>
      </w:pPr>
      <w:r>
        <w:t>Bidder</w:t>
      </w:r>
      <w:r w:rsidR="00C15F82" w:rsidRPr="0071137D">
        <w:t xml:space="preserve"> must provide an order address.</w:t>
      </w:r>
    </w:p>
    <w:p w:rsidR="00C15F82" w:rsidRPr="0071137D" w:rsidRDefault="00493DEE" w:rsidP="0009146D">
      <w:pPr>
        <w:pStyle w:val="TextL2"/>
        <w:jc w:val="both"/>
      </w:pPr>
      <w:r>
        <w:t>Bidder</w:t>
      </w:r>
      <w:r w:rsidR="00C15F82" w:rsidRPr="0071137D">
        <w:t xml:space="preserve"> must provide a remit address.</w:t>
      </w:r>
    </w:p>
    <w:p w:rsidR="00C15F82" w:rsidRDefault="00493DEE" w:rsidP="0009146D">
      <w:pPr>
        <w:pStyle w:val="TextL2"/>
        <w:jc w:val="both"/>
      </w:pPr>
      <w:r>
        <w:t>Bidder</w:t>
      </w:r>
      <w:r w:rsidR="00C15F82" w:rsidRPr="0071137D">
        <w:t xml:space="preserve"> must provide taxpayer identification number.</w:t>
      </w:r>
    </w:p>
    <w:p w:rsidR="00C15F82" w:rsidRDefault="00C15F82" w:rsidP="00421EF7">
      <w:pPr>
        <w:pStyle w:val="TextL2"/>
        <w:jc w:val="both"/>
      </w:pPr>
      <w:r>
        <w:t xml:space="preserve">Payments </w:t>
      </w:r>
      <w:r w:rsidRPr="00632EB2">
        <w:t xml:space="preserve">to the awarded </w:t>
      </w:r>
      <w:r w:rsidR="00493DEE">
        <w:t>Bidder</w:t>
      </w:r>
      <w:r w:rsidRPr="00632EB2">
        <w:t xml:space="preserve"> for all goods an</w:t>
      </w:r>
      <w:r>
        <w:t>d services acquired under this IFB</w:t>
      </w:r>
      <w:r w:rsidRPr="00632EB2">
        <w:t xml:space="preserve"> by state agencies that make payments through the Mississippi State Government’s Enterprise Resource Planning (ERP) solution (“MAGIC”) will be made electronically, via deposit to the bank account of the </w:t>
      </w:r>
      <w:r w:rsidR="00493DEE">
        <w:t>Bidder</w:t>
      </w:r>
      <w:r w:rsidRPr="00632EB2">
        <w:t xml:space="preserve">’s choice. The awarded </w:t>
      </w:r>
      <w:r w:rsidR="00493DEE">
        <w:t>Bidder</w:t>
      </w:r>
      <w:r w:rsidRPr="00632EB2">
        <w:t xml:space="preserve"> must enroll and be activated in </w:t>
      </w:r>
      <w:proofErr w:type="spellStart"/>
      <w:r w:rsidRPr="00632EB2">
        <w:t>PayMode</w:t>
      </w:r>
      <w:proofErr w:type="spellEnd"/>
      <w:r w:rsidRPr="00632EB2">
        <w:t xml:space="preserve">™, the State’s current vehicle for sending and receiving electronic payments, prior to receiving any payments from state agencies. There is no charge for a </w:t>
      </w:r>
      <w:r w:rsidR="00493DEE">
        <w:t>Bidder</w:t>
      </w:r>
      <w:r w:rsidRPr="00632EB2">
        <w:t xml:space="preserve"> to enroll or receive payments via </w:t>
      </w:r>
      <w:proofErr w:type="spellStart"/>
      <w:r w:rsidRPr="00632EB2">
        <w:t>PayMode</w:t>
      </w:r>
      <w:proofErr w:type="spellEnd"/>
      <w:r w:rsidRPr="00632EB2">
        <w:t xml:space="preserve">. For additional information on </w:t>
      </w:r>
      <w:proofErr w:type="spellStart"/>
      <w:r w:rsidRPr="00632EB2">
        <w:t>PayMode</w:t>
      </w:r>
      <w:proofErr w:type="spellEnd"/>
      <w:r w:rsidRPr="00632EB2">
        <w:t xml:space="preserve">, including registration instructions, </w:t>
      </w:r>
      <w:r w:rsidR="00493DEE">
        <w:t>Bidder</w:t>
      </w:r>
      <w:r w:rsidRPr="00632EB2">
        <w:t xml:space="preserve">s should visit the following website: http://portal.paymode.com/ms/. </w:t>
      </w:r>
      <w:r w:rsidR="00493DEE">
        <w:t>Bidder</w:t>
      </w:r>
      <w:r w:rsidRPr="00632EB2">
        <w:t xml:space="preserve">s may also request assistance from the Mississippi Management and Reporting System (MMRS) Call Center regarding </w:t>
      </w:r>
      <w:proofErr w:type="spellStart"/>
      <w:r w:rsidRPr="00632EB2">
        <w:t>PayMode</w:t>
      </w:r>
      <w:proofErr w:type="spellEnd"/>
      <w:r w:rsidRPr="00632EB2">
        <w:t xml:space="preserve"> registration by contacting </w:t>
      </w:r>
      <w:hyperlink r:id="rId10" w:history="1">
        <w:r w:rsidRPr="00974333">
          <w:rPr>
            <w:rStyle w:val="Hyperlink"/>
            <w:sz w:val="24"/>
          </w:rPr>
          <w:t>mash@dfa.ms.gov</w:t>
        </w:r>
      </w:hyperlink>
      <w:r w:rsidRPr="00632EB2">
        <w:t>.</w:t>
      </w:r>
    </w:p>
    <w:p w:rsidR="00EC0782" w:rsidRDefault="00EC0782" w:rsidP="00EC0782">
      <w:pPr>
        <w:pStyle w:val="TextL3"/>
        <w:numPr>
          <w:ilvl w:val="0"/>
          <w:numId w:val="6"/>
        </w:numPr>
        <w:tabs>
          <w:tab w:val="left" w:pos="1440"/>
        </w:tabs>
        <w:ind w:left="1350"/>
        <w:jc w:val="both"/>
      </w:pPr>
      <w:r w:rsidRPr="00B62AB2">
        <w:t xml:space="preserve">For state agencies that make payments through MAGIC, the awarded </w:t>
      </w:r>
      <w:r w:rsidR="00493DEE">
        <w:t>Bidder</w:t>
      </w:r>
      <w:r w:rsidRPr="00B62AB2">
        <w:t xml:space="preserve"> is required to electronically submit all invoices for goods and services acquired under this </w:t>
      </w:r>
      <w:r>
        <w:t>IFB</w:t>
      </w:r>
      <w:r w:rsidRPr="00B62AB2">
        <w:t xml:space="preserve">, along with appropriate supporting documentation, as directed by the State. </w:t>
      </w:r>
    </w:p>
    <w:p w:rsidR="00EC0782" w:rsidRDefault="00EC0782" w:rsidP="00EC0782">
      <w:pPr>
        <w:pStyle w:val="TextL3"/>
        <w:tabs>
          <w:tab w:val="left" w:pos="1440"/>
        </w:tabs>
        <w:ind w:left="1350"/>
        <w:jc w:val="both"/>
      </w:pPr>
      <w:r w:rsidRPr="00B62AB2">
        <w:t xml:space="preserve">MAGIC </w:t>
      </w:r>
      <w:r w:rsidR="00493DEE">
        <w:t>Bidder</w:t>
      </w:r>
      <w:r w:rsidRPr="00B62AB2">
        <w:t xml:space="preserve"> Code: Any </w:t>
      </w:r>
      <w:r w:rsidR="00493DEE">
        <w:t>Bidder</w:t>
      </w:r>
      <w:r w:rsidRPr="00B62AB2">
        <w:t xml:space="preserve"> who has not previously done business with the State and has not been assigned a MAGIC </w:t>
      </w:r>
      <w:r w:rsidR="00493DEE">
        <w:t>Bidder</w:t>
      </w:r>
      <w:r w:rsidRPr="00B62AB2">
        <w:t xml:space="preserve"> code should visit the following link to register:</w:t>
      </w:r>
    </w:p>
    <w:p w:rsidR="00EC0782" w:rsidRPr="00421EF7" w:rsidRDefault="00917C6A" w:rsidP="00EC0782">
      <w:pPr>
        <w:pStyle w:val="TextL2"/>
        <w:numPr>
          <w:ilvl w:val="0"/>
          <w:numId w:val="0"/>
        </w:numPr>
        <w:ind w:left="1350"/>
        <w:jc w:val="both"/>
      </w:pPr>
      <w:hyperlink r:id="rId11" w:history="1">
        <w:r w:rsidR="00EC0782" w:rsidRPr="000C00B3">
          <w:rPr>
            <w:rStyle w:val="Hyperlink"/>
          </w:rPr>
          <w:t>https://sus.magic.ms.gov/sap/bc/webdynpro/sapsrm/wda_e_suco_sreg?sap-client=100</w:t>
        </w:r>
      </w:hyperlink>
    </w:p>
    <w:p w:rsidR="00487414" w:rsidRDefault="00216B80" w:rsidP="004B5F96">
      <w:pPr>
        <w:pStyle w:val="TextL1"/>
      </w:pPr>
      <w:r>
        <w:t xml:space="preserve">Format and </w:t>
      </w:r>
      <w:r w:rsidRPr="00BD4532">
        <w:t>Content</w:t>
      </w:r>
      <w:r>
        <w:t xml:space="preserve"> of Bid</w:t>
      </w:r>
    </w:p>
    <w:p w:rsidR="00216B80" w:rsidRPr="00BD4532" w:rsidRDefault="00216B80" w:rsidP="00EC22EE">
      <w:pPr>
        <w:pStyle w:val="TextL2"/>
        <w:numPr>
          <w:ilvl w:val="0"/>
          <w:numId w:val="7"/>
        </w:numPr>
      </w:pPr>
      <w:r w:rsidRPr="00BD4532">
        <w:t>The Bidder is required to submit three (3) identical copies of his bid.</w:t>
      </w:r>
    </w:p>
    <w:p w:rsidR="00216B80" w:rsidRPr="00BD4532" w:rsidRDefault="00216B80" w:rsidP="00BD4532">
      <w:pPr>
        <w:pStyle w:val="TextL2"/>
      </w:pPr>
      <w:r w:rsidRPr="00BD4532">
        <w:t>The Bidder should note that original signatures are required on each copy of the bid.</w:t>
      </w:r>
    </w:p>
    <w:p w:rsidR="00216B80" w:rsidRPr="00BD4532" w:rsidRDefault="00216B80" w:rsidP="00BD4532">
      <w:pPr>
        <w:pStyle w:val="TextL2"/>
      </w:pPr>
      <w:r w:rsidRPr="00BD4532">
        <w:t xml:space="preserve">The Bidder must complete all </w:t>
      </w:r>
      <w:r w:rsidR="00E13ADF">
        <w:t>Attachments</w:t>
      </w:r>
      <w:r w:rsidRPr="00BD4532">
        <w:t xml:space="preserve"> included in this IFB in their entirety.</w:t>
      </w:r>
    </w:p>
    <w:p w:rsidR="0030189A" w:rsidRPr="00BD4532" w:rsidRDefault="00216B80" w:rsidP="00BD4532">
      <w:pPr>
        <w:pStyle w:val="TextL2"/>
      </w:pPr>
      <w:r w:rsidRPr="00BD4532">
        <w:t>The State reserves the right to reject bids from bidders who submit incomplete bids.</w:t>
      </w:r>
    </w:p>
    <w:p w:rsidR="004453E8" w:rsidRDefault="00B51628" w:rsidP="002C499B">
      <w:pPr>
        <w:pStyle w:val="TextL1"/>
        <w:jc w:val="both"/>
      </w:pPr>
      <w:r>
        <w:t>Clarifications Prior to Bid Opening</w:t>
      </w:r>
      <w:r w:rsidR="004453E8" w:rsidRPr="004453E8">
        <w:rPr>
          <w:color w:val="FF0000"/>
        </w:rPr>
        <w:t xml:space="preserve"> </w:t>
      </w:r>
    </w:p>
    <w:p w:rsidR="004453E8" w:rsidRDefault="004453E8" w:rsidP="00304C90">
      <w:pPr>
        <w:pStyle w:val="TextL2"/>
        <w:numPr>
          <w:ilvl w:val="0"/>
          <w:numId w:val="0"/>
        </w:numPr>
        <w:ind w:left="540"/>
        <w:jc w:val="both"/>
      </w:pPr>
      <w:r>
        <w:t xml:space="preserve">Clarifications or questions must be submitted in writing to </w:t>
      </w:r>
      <w:r w:rsidR="00445373">
        <w:t xml:space="preserve">Jordan </w:t>
      </w:r>
      <w:r w:rsidR="00E13ADF">
        <w:t>Barber</w:t>
      </w:r>
      <w:r>
        <w:t xml:space="preserve"> </w:t>
      </w:r>
      <w:r w:rsidRPr="00E13ADF">
        <w:t xml:space="preserve">no later than 3:00 </w:t>
      </w:r>
      <w:r w:rsidR="00493DEE" w:rsidRPr="00E13ADF">
        <w:t xml:space="preserve">p.m. (Central Time) </w:t>
      </w:r>
      <w:r w:rsidRPr="00E13ADF">
        <w:t xml:space="preserve">on </w:t>
      </w:r>
      <w:r w:rsidR="001B2B96">
        <w:t>Wednesday</w:t>
      </w:r>
      <w:r w:rsidR="00115DBD" w:rsidRPr="00E13ADF">
        <w:t xml:space="preserve">, </w:t>
      </w:r>
      <w:r w:rsidR="00EC0782" w:rsidRPr="00E13ADF">
        <w:t>October</w:t>
      </w:r>
      <w:r w:rsidR="00115DBD" w:rsidRPr="00E13ADF">
        <w:t xml:space="preserve"> </w:t>
      </w:r>
      <w:r w:rsidR="001B2B96">
        <w:t>17</w:t>
      </w:r>
      <w:r w:rsidR="00115DBD" w:rsidRPr="00E13ADF">
        <w:t>, 2018</w:t>
      </w:r>
      <w:r w:rsidRPr="00E13ADF">
        <w:t>.  Clarifications or q</w:t>
      </w:r>
      <w:r>
        <w:t xml:space="preserve">uestions may be delivered by hand, via mail, </w:t>
      </w:r>
      <w:r w:rsidR="00B51628">
        <w:t xml:space="preserve">by </w:t>
      </w:r>
      <w:r>
        <w:t>e-mail</w:t>
      </w:r>
      <w:r w:rsidR="00B51628">
        <w:t xml:space="preserve"> to </w:t>
      </w:r>
      <w:r w:rsidR="00445373">
        <w:rPr>
          <w:rStyle w:val="Hyperlink"/>
        </w:rPr>
        <w:t>jordan.barber@its.ms.gov</w:t>
      </w:r>
      <w:r>
        <w:t xml:space="preserve"> or by fax</w:t>
      </w:r>
      <w:r w:rsidR="00B51628">
        <w:t xml:space="preserve"> to </w:t>
      </w:r>
      <w:r>
        <w:t xml:space="preserve">(601)713-6380. The response to all </w:t>
      </w:r>
      <w:r w:rsidR="00917671">
        <w:t xml:space="preserve">timely submitted </w:t>
      </w:r>
      <w:r>
        <w:t xml:space="preserve">clarifications or questions will be posted </w:t>
      </w:r>
      <w:r w:rsidR="00917671">
        <w:t>on</w:t>
      </w:r>
      <w:r>
        <w:t xml:space="preserve"> the ITS website by close of business on </w:t>
      </w:r>
      <w:r w:rsidR="001B2B96">
        <w:t>Monday, October 22,</w:t>
      </w:r>
      <w:r w:rsidR="00E422F2" w:rsidRPr="00862447">
        <w:t xml:space="preserve"> 2018</w:t>
      </w:r>
      <w:r w:rsidRPr="00862447">
        <w:t>.</w:t>
      </w:r>
    </w:p>
    <w:p w:rsidR="0030189A" w:rsidRDefault="0030189A" w:rsidP="002C499B">
      <w:pPr>
        <w:pStyle w:val="TextL1"/>
        <w:jc w:val="both"/>
      </w:pPr>
      <w:r>
        <w:t>Clarifications and Updates After the Bid Opening Date and Time</w:t>
      </w:r>
    </w:p>
    <w:p w:rsidR="0030189A" w:rsidRDefault="0030189A" w:rsidP="00886A07">
      <w:pPr>
        <w:ind w:left="540"/>
        <w:jc w:val="both"/>
      </w:pPr>
      <w:r w:rsidRPr="0030189A">
        <w:lastRenderedPageBreak/>
        <w:t xml:space="preserve">Bid clarifications and updates submitted after the bid opening date and time will be accepted or rejected at the sole discretion of ITS. </w:t>
      </w:r>
      <w:r w:rsidR="0084652C">
        <w:t xml:space="preserve"> </w:t>
      </w:r>
      <w:r w:rsidRPr="0030189A">
        <w:t>ITS will accept no price increases for a 90-day period after the bid opening. However, the State will always take advantage of price decreases. ITS will consider updates in the evaluation and selection of lowest bid only if: (a) The update provided is in effect nationally and has been publicly announced; and (b) the update is received early enough in the evaluation process to allow adequate time for re-evaluation. Bidders must follow the procedure outlined below in submitting updates to bids:</w:t>
      </w:r>
    </w:p>
    <w:p w:rsidR="00C5126D" w:rsidRDefault="00C5126D" w:rsidP="00886A07">
      <w:pPr>
        <w:jc w:val="both"/>
      </w:pPr>
    </w:p>
    <w:p w:rsidR="0030189A" w:rsidRPr="00BD4532" w:rsidRDefault="0030189A" w:rsidP="00EC22EE">
      <w:pPr>
        <w:pStyle w:val="TextL2"/>
        <w:numPr>
          <w:ilvl w:val="0"/>
          <w:numId w:val="8"/>
        </w:numPr>
        <w:jc w:val="both"/>
      </w:pPr>
      <w:r w:rsidRPr="00BD4532">
        <w:t>The Bidder must submit a statement outlining the circumstances under which he is submitting a clarification or update to the original bid.</w:t>
      </w:r>
    </w:p>
    <w:p w:rsidR="00AA4BBE" w:rsidRDefault="0030189A" w:rsidP="00886A07">
      <w:pPr>
        <w:pStyle w:val="TextL2"/>
        <w:jc w:val="both"/>
      </w:pPr>
      <w:r w:rsidRPr="00BD4532">
        <w:t>The Bidder must submit updates in three (3) copies and in the format of the specifications of only those pages in the bid document that should replace the old pages or that should be added. The revised pages must be marked as a bid clarification or update, dated, and page numbered.</w:t>
      </w:r>
    </w:p>
    <w:p w:rsidR="00C82F69" w:rsidRPr="00AA4BBE" w:rsidRDefault="00F626BA" w:rsidP="00F626BA">
      <w:pPr>
        <w:pStyle w:val="TextL1"/>
      </w:pPr>
      <w:r>
        <w:t>Project Schedule</w:t>
      </w:r>
      <w:r w:rsidR="00EE3E58">
        <w:t xml:space="preserve"> </w:t>
      </w:r>
    </w:p>
    <w:tbl>
      <w:tblPr>
        <w:tblW w:w="868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171"/>
      </w:tblGrid>
      <w:tr w:rsidR="00AA4BBE" w:rsidRPr="00C11D09" w:rsidTr="00493DEE">
        <w:trPr>
          <w:trHeight w:val="305"/>
        </w:trPr>
        <w:tc>
          <w:tcPr>
            <w:tcW w:w="4518" w:type="dxa"/>
            <w:vAlign w:val="center"/>
          </w:tcPr>
          <w:p w:rsidR="00AA4BBE" w:rsidRPr="00C11D09" w:rsidRDefault="00AA4BBE" w:rsidP="00493DEE">
            <w:pPr>
              <w:spacing w:line="240" w:lineRule="atLeast"/>
              <w:jc w:val="center"/>
              <w:rPr>
                <w:b/>
                <w:bCs/>
              </w:rPr>
            </w:pPr>
            <w:r w:rsidRPr="00C11D09">
              <w:rPr>
                <w:b/>
                <w:bCs/>
              </w:rPr>
              <w:t>Task</w:t>
            </w:r>
          </w:p>
        </w:tc>
        <w:tc>
          <w:tcPr>
            <w:tcW w:w="4171" w:type="dxa"/>
            <w:vAlign w:val="center"/>
          </w:tcPr>
          <w:p w:rsidR="00AA4BBE" w:rsidRPr="00C11D09" w:rsidRDefault="00AA4BBE" w:rsidP="00493DEE">
            <w:pPr>
              <w:spacing w:line="240" w:lineRule="atLeast"/>
              <w:jc w:val="center"/>
              <w:rPr>
                <w:b/>
                <w:bCs/>
              </w:rPr>
            </w:pPr>
            <w:r w:rsidRPr="00C11D09">
              <w:rPr>
                <w:b/>
                <w:bCs/>
              </w:rPr>
              <w:t>Date</w:t>
            </w:r>
          </w:p>
        </w:tc>
      </w:tr>
      <w:tr w:rsidR="00AA4BBE" w:rsidRPr="00C11D09" w:rsidTr="00E422F2">
        <w:trPr>
          <w:trHeight w:val="260"/>
        </w:trPr>
        <w:tc>
          <w:tcPr>
            <w:tcW w:w="4518" w:type="dxa"/>
            <w:shd w:val="clear" w:color="auto" w:fill="auto"/>
            <w:vAlign w:val="bottom"/>
          </w:tcPr>
          <w:p w:rsidR="00AA4BBE" w:rsidRPr="00C11D09" w:rsidRDefault="00AA4BBE" w:rsidP="00493DEE">
            <w:pPr>
              <w:spacing w:line="240" w:lineRule="atLeast"/>
            </w:pPr>
            <w:r w:rsidRPr="00C11D09">
              <w:t>First Advertisement Date for IFB</w:t>
            </w:r>
          </w:p>
        </w:tc>
        <w:tc>
          <w:tcPr>
            <w:tcW w:w="4171" w:type="dxa"/>
            <w:shd w:val="clear" w:color="auto" w:fill="auto"/>
            <w:vAlign w:val="bottom"/>
          </w:tcPr>
          <w:p w:rsidR="00AA4BBE" w:rsidRPr="00C11D09" w:rsidRDefault="0057100C" w:rsidP="00471E13">
            <w:pPr>
              <w:spacing w:line="240" w:lineRule="atLeast"/>
              <w:jc w:val="both"/>
            </w:pPr>
            <w:r>
              <w:t>Tuesday</w:t>
            </w:r>
            <w:r w:rsidR="00E422F2">
              <w:t xml:space="preserve">, </w:t>
            </w:r>
            <w:r w:rsidR="00471E13">
              <w:t>October</w:t>
            </w:r>
            <w:r w:rsidR="00E422F2">
              <w:t xml:space="preserve"> </w:t>
            </w:r>
            <w:r>
              <w:t>2</w:t>
            </w:r>
            <w:r w:rsidR="00E422F2">
              <w:t>, 2018</w:t>
            </w:r>
          </w:p>
        </w:tc>
      </w:tr>
      <w:tr w:rsidR="00AA4BBE" w:rsidRPr="00C11D09" w:rsidTr="00E422F2">
        <w:trPr>
          <w:trHeight w:val="359"/>
        </w:trPr>
        <w:tc>
          <w:tcPr>
            <w:tcW w:w="4518" w:type="dxa"/>
            <w:shd w:val="clear" w:color="auto" w:fill="auto"/>
            <w:vAlign w:val="bottom"/>
          </w:tcPr>
          <w:p w:rsidR="00AA4BBE" w:rsidRPr="00C11D09" w:rsidRDefault="00AA4BBE" w:rsidP="00493DEE">
            <w:pPr>
              <w:spacing w:line="240" w:lineRule="atLeast"/>
            </w:pPr>
            <w:r w:rsidRPr="00C11D09">
              <w:t>Second Advertisement Date for IFB</w:t>
            </w:r>
          </w:p>
        </w:tc>
        <w:tc>
          <w:tcPr>
            <w:tcW w:w="4171" w:type="dxa"/>
            <w:shd w:val="clear" w:color="auto" w:fill="auto"/>
            <w:vAlign w:val="bottom"/>
          </w:tcPr>
          <w:p w:rsidR="00AA4BBE" w:rsidRPr="00C11D09" w:rsidRDefault="0057100C" w:rsidP="0057100C">
            <w:pPr>
              <w:spacing w:line="240" w:lineRule="atLeast"/>
              <w:jc w:val="both"/>
            </w:pPr>
            <w:r>
              <w:t>Tuesday</w:t>
            </w:r>
            <w:r w:rsidR="00E422F2">
              <w:t xml:space="preserve">, </w:t>
            </w:r>
            <w:r w:rsidR="005E16A0">
              <w:t>October</w:t>
            </w:r>
            <w:r w:rsidR="00E422F2">
              <w:t xml:space="preserve"> </w:t>
            </w:r>
            <w:r>
              <w:t>9</w:t>
            </w:r>
            <w:r w:rsidR="00E422F2">
              <w:t>, 2018</w:t>
            </w:r>
          </w:p>
        </w:tc>
      </w:tr>
      <w:tr w:rsidR="00F84B9F" w:rsidRPr="00C11D09" w:rsidTr="00E422F2">
        <w:trPr>
          <w:trHeight w:val="359"/>
        </w:trPr>
        <w:tc>
          <w:tcPr>
            <w:tcW w:w="4518" w:type="dxa"/>
            <w:shd w:val="clear" w:color="auto" w:fill="auto"/>
            <w:vAlign w:val="bottom"/>
          </w:tcPr>
          <w:p w:rsidR="00F84B9F" w:rsidRPr="00C11D09" w:rsidRDefault="00F84B9F" w:rsidP="00493DEE">
            <w:pPr>
              <w:spacing w:line="240" w:lineRule="atLeast"/>
            </w:pPr>
            <w:r>
              <w:t xml:space="preserve">IFB Posted to ITS Website </w:t>
            </w:r>
          </w:p>
        </w:tc>
        <w:tc>
          <w:tcPr>
            <w:tcW w:w="4171" w:type="dxa"/>
            <w:shd w:val="clear" w:color="auto" w:fill="auto"/>
            <w:vAlign w:val="bottom"/>
          </w:tcPr>
          <w:p w:rsidR="00F84B9F" w:rsidRDefault="00F84B9F" w:rsidP="0057100C">
            <w:pPr>
              <w:spacing w:line="240" w:lineRule="atLeast"/>
              <w:jc w:val="both"/>
            </w:pPr>
            <w:r>
              <w:t>Thursday, October 4, 2018</w:t>
            </w:r>
          </w:p>
        </w:tc>
      </w:tr>
      <w:tr w:rsidR="00AA4BBE" w:rsidRPr="00C11D09" w:rsidTr="00E422F2">
        <w:trPr>
          <w:trHeight w:val="341"/>
        </w:trPr>
        <w:tc>
          <w:tcPr>
            <w:tcW w:w="4518" w:type="dxa"/>
            <w:shd w:val="clear" w:color="auto" w:fill="auto"/>
            <w:vAlign w:val="bottom"/>
          </w:tcPr>
          <w:p w:rsidR="00AA4BBE" w:rsidRPr="00C11D09" w:rsidRDefault="00AA4BBE" w:rsidP="00493DEE">
            <w:pPr>
              <w:spacing w:line="240" w:lineRule="atLeast"/>
            </w:pPr>
            <w:r w:rsidRPr="00C11D09">
              <w:t xml:space="preserve">Deadline for </w:t>
            </w:r>
            <w:r w:rsidR="00493DEE">
              <w:t>Bidder</w:t>
            </w:r>
            <w:r w:rsidRPr="00C11D09">
              <w:t>’s Written Questions</w:t>
            </w:r>
          </w:p>
        </w:tc>
        <w:tc>
          <w:tcPr>
            <w:tcW w:w="4171" w:type="dxa"/>
            <w:shd w:val="clear" w:color="auto" w:fill="auto"/>
            <w:vAlign w:val="bottom"/>
          </w:tcPr>
          <w:p w:rsidR="00304C90" w:rsidRPr="00C11D09" w:rsidRDefault="0057100C" w:rsidP="0057100C">
            <w:pPr>
              <w:spacing w:line="240" w:lineRule="atLeast"/>
              <w:jc w:val="both"/>
            </w:pPr>
            <w:r>
              <w:t>Wednesday</w:t>
            </w:r>
            <w:r w:rsidR="00E422F2">
              <w:t xml:space="preserve">, </w:t>
            </w:r>
            <w:r w:rsidR="005E16A0">
              <w:t>October</w:t>
            </w:r>
            <w:r w:rsidR="00E422F2">
              <w:t xml:space="preserve"> </w:t>
            </w:r>
            <w:r>
              <w:t>17</w:t>
            </w:r>
            <w:r w:rsidR="00E422F2">
              <w:t xml:space="preserve">, 2018 </w:t>
            </w:r>
            <w:r w:rsidR="00304C90">
              <w:t>at</w:t>
            </w:r>
            <w:r w:rsidR="00870F47">
              <w:t xml:space="preserve"> </w:t>
            </w:r>
            <w:r w:rsidR="00304C90">
              <w:t>3:00 p</w:t>
            </w:r>
            <w:r w:rsidR="00493DEE">
              <w:t>.</w:t>
            </w:r>
            <w:r w:rsidR="00304C90">
              <w:t>m</w:t>
            </w:r>
            <w:r w:rsidR="00493DEE">
              <w:t>.</w:t>
            </w:r>
            <w:r w:rsidR="00304C90">
              <w:t xml:space="preserve"> Central Time</w:t>
            </w:r>
          </w:p>
        </w:tc>
      </w:tr>
      <w:tr w:rsidR="00AA4BBE" w:rsidRPr="00C11D09" w:rsidTr="00862447">
        <w:trPr>
          <w:trHeight w:val="530"/>
        </w:trPr>
        <w:tc>
          <w:tcPr>
            <w:tcW w:w="4518" w:type="dxa"/>
            <w:shd w:val="clear" w:color="auto" w:fill="auto"/>
            <w:vAlign w:val="bottom"/>
          </w:tcPr>
          <w:p w:rsidR="00AA4BBE" w:rsidRPr="00C11D09" w:rsidRDefault="00AA4BBE" w:rsidP="00493DEE">
            <w:pPr>
              <w:spacing w:line="240" w:lineRule="atLeast"/>
            </w:pPr>
            <w:r w:rsidRPr="00C11D09">
              <w:t xml:space="preserve">ITS Addendum with </w:t>
            </w:r>
            <w:r w:rsidR="00493DEE">
              <w:t>Bidder</w:t>
            </w:r>
            <w:r w:rsidRPr="00C11D09">
              <w:t>’s Questions and Answers Posted to ITS Web Site</w:t>
            </w:r>
          </w:p>
        </w:tc>
        <w:tc>
          <w:tcPr>
            <w:tcW w:w="4171" w:type="dxa"/>
            <w:shd w:val="clear" w:color="auto" w:fill="auto"/>
            <w:vAlign w:val="bottom"/>
          </w:tcPr>
          <w:p w:rsidR="00AA4BBE" w:rsidRPr="00C11D09" w:rsidRDefault="0057100C" w:rsidP="0057100C">
            <w:pPr>
              <w:spacing w:line="240" w:lineRule="atLeast"/>
              <w:jc w:val="both"/>
            </w:pPr>
            <w:r>
              <w:t>Monday</w:t>
            </w:r>
            <w:r w:rsidR="00471E13">
              <w:t xml:space="preserve">, October </w:t>
            </w:r>
            <w:r>
              <w:t>22</w:t>
            </w:r>
            <w:r w:rsidR="00E422F2">
              <w:t>, 2018</w:t>
            </w:r>
          </w:p>
        </w:tc>
      </w:tr>
      <w:tr w:rsidR="00AA4BBE" w:rsidRPr="00C11D09" w:rsidTr="00862447">
        <w:trPr>
          <w:trHeight w:val="350"/>
        </w:trPr>
        <w:tc>
          <w:tcPr>
            <w:tcW w:w="4518" w:type="dxa"/>
            <w:shd w:val="clear" w:color="auto" w:fill="auto"/>
            <w:vAlign w:val="bottom"/>
          </w:tcPr>
          <w:p w:rsidR="00AA4BBE" w:rsidRPr="00C11D09" w:rsidRDefault="00AA4BBE" w:rsidP="00493DEE">
            <w:pPr>
              <w:spacing w:line="240" w:lineRule="atLeast"/>
            </w:pPr>
            <w:r w:rsidRPr="00C11D09">
              <w:t>Proposals Due</w:t>
            </w:r>
          </w:p>
        </w:tc>
        <w:tc>
          <w:tcPr>
            <w:tcW w:w="4171" w:type="dxa"/>
            <w:shd w:val="clear" w:color="auto" w:fill="auto"/>
            <w:vAlign w:val="bottom"/>
          </w:tcPr>
          <w:p w:rsidR="00304C90" w:rsidRPr="00C11D09" w:rsidRDefault="004100EF" w:rsidP="004100EF">
            <w:pPr>
              <w:spacing w:line="240" w:lineRule="atLeast"/>
              <w:jc w:val="both"/>
            </w:pPr>
            <w:r>
              <w:t>Thursday</w:t>
            </w:r>
            <w:r w:rsidR="00E422F2">
              <w:t xml:space="preserve">, October </w:t>
            </w:r>
            <w:r>
              <w:t>25</w:t>
            </w:r>
            <w:r w:rsidR="00E422F2">
              <w:t>, 2018</w:t>
            </w:r>
            <w:r w:rsidR="00870F47">
              <w:t xml:space="preserve"> a</w:t>
            </w:r>
            <w:r w:rsidR="00304C90">
              <w:t>t 3:00 p</w:t>
            </w:r>
            <w:r w:rsidR="00493DEE">
              <w:t>.</w:t>
            </w:r>
            <w:r w:rsidR="00304C90">
              <w:t>m</w:t>
            </w:r>
            <w:r w:rsidR="00493DEE">
              <w:t>.</w:t>
            </w:r>
            <w:r w:rsidR="00304C90">
              <w:t xml:space="preserve"> Central Time</w:t>
            </w:r>
          </w:p>
        </w:tc>
      </w:tr>
      <w:tr w:rsidR="00AA4BBE" w:rsidRPr="00C11D09" w:rsidTr="00862447">
        <w:trPr>
          <w:trHeight w:val="440"/>
        </w:trPr>
        <w:tc>
          <w:tcPr>
            <w:tcW w:w="4518" w:type="dxa"/>
            <w:shd w:val="clear" w:color="auto" w:fill="auto"/>
            <w:vAlign w:val="bottom"/>
          </w:tcPr>
          <w:p w:rsidR="00AA4BBE" w:rsidRPr="00C11D09" w:rsidRDefault="00493DEE" w:rsidP="00493DEE">
            <w:pPr>
              <w:spacing w:line="240" w:lineRule="atLeast"/>
            </w:pPr>
            <w:r>
              <w:t xml:space="preserve">Begin </w:t>
            </w:r>
            <w:r w:rsidR="00AA4BBE" w:rsidRPr="00C11D09">
              <w:t>Proposal Evaluation</w:t>
            </w:r>
          </w:p>
        </w:tc>
        <w:tc>
          <w:tcPr>
            <w:tcW w:w="4171" w:type="dxa"/>
            <w:shd w:val="clear" w:color="auto" w:fill="auto"/>
            <w:vAlign w:val="bottom"/>
          </w:tcPr>
          <w:p w:rsidR="00AA4BBE" w:rsidRPr="00C11D09" w:rsidRDefault="004100EF" w:rsidP="004100EF">
            <w:pPr>
              <w:spacing w:line="240" w:lineRule="atLeast"/>
              <w:jc w:val="both"/>
            </w:pPr>
            <w:r>
              <w:t>Thursday</w:t>
            </w:r>
            <w:r w:rsidR="00E422F2">
              <w:t xml:space="preserve">, October </w:t>
            </w:r>
            <w:r>
              <w:t>25</w:t>
            </w:r>
            <w:r w:rsidR="00E422F2">
              <w:t>, 2018</w:t>
            </w:r>
            <w:r w:rsidR="00917671">
              <w:t xml:space="preserve"> </w:t>
            </w:r>
          </w:p>
        </w:tc>
      </w:tr>
      <w:tr w:rsidR="00AA4BBE" w:rsidRPr="00C11D09" w:rsidTr="00862447">
        <w:trPr>
          <w:trHeight w:val="395"/>
        </w:trPr>
        <w:tc>
          <w:tcPr>
            <w:tcW w:w="4518" w:type="dxa"/>
            <w:shd w:val="clear" w:color="auto" w:fill="auto"/>
            <w:vAlign w:val="bottom"/>
          </w:tcPr>
          <w:p w:rsidR="00AA4BBE" w:rsidRPr="00862447" w:rsidRDefault="00AA4BBE" w:rsidP="00493DEE">
            <w:pPr>
              <w:spacing w:line="240" w:lineRule="atLeast"/>
            </w:pPr>
            <w:r w:rsidRPr="00862447">
              <w:t xml:space="preserve">Notification of Award </w:t>
            </w:r>
          </w:p>
        </w:tc>
        <w:tc>
          <w:tcPr>
            <w:tcW w:w="4171" w:type="dxa"/>
            <w:shd w:val="clear" w:color="auto" w:fill="auto"/>
            <w:vAlign w:val="bottom"/>
          </w:tcPr>
          <w:p w:rsidR="00AA4BBE" w:rsidRPr="00862447" w:rsidRDefault="007251FB" w:rsidP="007251FB">
            <w:pPr>
              <w:spacing w:line="240" w:lineRule="atLeast"/>
              <w:jc w:val="both"/>
            </w:pPr>
            <w:r>
              <w:t>Tuesday</w:t>
            </w:r>
            <w:r w:rsidR="00862447" w:rsidRPr="00862447">
              <w:t xml:space="preserve">, </w:t>
            </w:r>
            <w:r w:rsidR="00E13ADF">
              <w:t>October</w:t>
            </w:r>
            <w:r w:rsidR="00471E13">
              <w:t xml:space="preserve"> </w:t>
            </w:r>
            <w:r>
              <w:t>30</w:t>
            </w:r>
            <w:r w:rsidR="00862447" w:rsidRPr="00862447">
              <w:t>, 2018</w:t>
            </w:r>
          </w:p>
        </w:tc>
      </w:tr>
    </w:tbl>
    <w:p w:rsidR="006B024F" w:rsidRDefault="006B024F" w:rsidP="00EA32AD">
      <w:pPr>
        <w:pStyle w:val="TextL1"/>
        <w:numPr>
          <w:ilvl w:val="0"/>
          <w:numId w:val="0"/>
        </w:numPr>
        <w:sectPr w:rsidR="006B024F" w:rsidSect="006B024F">
          <w:headerReference w:type="default" r:id="rId12"/>
          <w:footerReference w:type="default" r:id="rId13"/>
          <w:pgSz w:w="12240" w:h="15840" w:code="1"/>
          <w:pgMar w:top="1440" w:right="1440" w:bottom="1440" w:left="1440" w:header="720" w:footer="720" w:gutter="0"/>
          <w:pgNumType w:start="2"/>
          <w:cols w:space="720"/>
          <w:docGrid w:linePitch="360"/>
        </w:sectPr>
      </w:pPr>
    </w:p>
    <w:p w:rsidR="00EC22EE" w:rsidRDefault="00EC22EE"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621560" w:rsidRDefault="00621560" w:rsidP="00EC22EE">
      <w:pPr>
        <w:widowControl w:val="0"/>
        <w:autoSpaceDE w:val="0"/>
        <w:autoSpaceDN w:val="0"/>
        <w:adjustRightInd w:val="0"/>
        <w:spacing w:line="268" w:lineRule="auto"/>
        <w:rPr>
          <w:b/>
          <w:bCs/>
          <w:sz w:val="24"/>
        </w:rPr>
      </w:pPr>
    </w:p>
    <w:p w:rsidR="00302E7D" w:rsidRPr="008069C7" w:rsidRDefault="00302E7D" w:rsidP="008069C7">
      <w:pPr>
        <w:widowControl w:val="0"/>
        <w:autoSpaceDE w:val="0"/>
        <w:autoSpaceDN w:val="0"/>
        <w:adjustRightInd w:val="0"/>
        <w:spacing w:line="268" w:lineRule="auto"/>
        <w:rPr>
          <w:b/>
          <w:bCs/>
          <w:sz w:val="24"/>
        </w:rPr>
      </w:pPr>
    </w:p>
    <w:p w:rsidR="003B666C" w:rsidRPr="00621560" w:rsidRDefault="003B666C" w:rsidP="003B666C">
      <w:pPr>
        <w:widowControl w:val="0"/>
        <w:numPr>
          <w:ilvl w:val="0"/>
          <w:numId w:val="12"/>
        </w:numPr>
        <w:autoSpaceDE w:val="0"/>
        <w:autoSpaceDN w:val="0"/>
        <w:adjustRightInd w:val="0"/>
        <w:spacing w:line="268" w:lineRule="auto"/>
        <w:ind w:left="360" w:hanging="360"/>
        <w:rPr>
          <w:b/>
          <w:bCs/>
        </w:rPr>
      </w:pPr>
      <w:r w:rsidRPr="004A52A5">
        <w:rPr>
          <w:rFonts w:eastAsia="Times New Roman"/>
          <w:b/>
          <w:bCs/>
        </w:rPr>
        <w:t xml:space="preserve">Functional Requirements </w:t>
      </w:r>
    </w:p>
    <w:p w:rsidR="00621560" w:rsidRPr="00621560" w:rsidRDefault="00621560" w:rsidP="00621560">
      <w:pPr>
        <w:widowControl w:val="0"/>
        <w:autoSpaceDE w:val="0"/>
        <w:autoSpaceDN w:val="0"/>
        <w:adjustRightInd w:val="0"/>
        <w:spacing w:line="268" w:lineRule="auto"/>
        <w:ind w:left="360"/>
        <w:rPr>
          <w:b/>
          <w:bCs/>
        </w:rPr>
      </w:pPr>
    </w:p>
    <w:p w:rsidR="00621560" w:rsidRPr="00995423" w:rsidRDefault="00995423" w:rsidP="00995423">
      <w:pPr>
        <w:pStyle w:val="TextL2"/>
        <w:numPr>
          <w:ilvl w:val="0"/>
          <w:numId w:val="0"/>
        </w:numPr>
        <w:ind w:left="360"/>
        <w:jc w:val="both"/>
        <w:rPr>
          <w:bCs/>
        </w:rPr>
      </w:pPr>
      <w:r w:rsidRPr="00995423">
        <w:t xml:space="preserve">For the past three years, MDOT has </w:t>
      </w:r>
      <w:r w:rsidR="001C447F">
        <w:t>utilized</w:t>
      </w:r>
      <w:r w:rsidRPr="00995423">
        <w:t xml:space="preserve"> </w:t>
      </w:r>
      <w:proofErr w:type="spellStart"/>
      <w:r w:rsidRPr="00995423">
        <w:t>Onsolve</w:t>
      </w:r>
      <w:proofErr w:type="spellEnd"/>
      <w:r w:rsidRPr="00995423">
        <w:t xml:space="preserve"> MIR3 in place to send mass notifications</w:t>
      </w:r>
      <w:r w:rsidR="001C447F">
        <w:t xml:space="preserve"> </w:t>
      </w:r>
      <w:r w:rsidRPr="00995423">
        <w:t xml:space="preserve">with important </w:t>
      </w:r>
      <w:r>
        <w:t xml:space="preserve">information </w:t>
      </w:r>
      <w:r w:rsidR="001C447F">
        <w:t>via</w:t>
      </w:r>
      <w:r w:rsidRPr="00995423">
        <w:t xml:space="preserve"> email, SMS text</w:t>
      </w:r>
      <w:r>
        <w:t xml:space="preserve"> messaging</w:t>
      </w:r>
      <w:r w:rsidRPr="00995423">
        <w:t>, phone call, and desktop alerting.</w:t>
      </w:r>
      <w:r w:rsidRPr="00995423">
        <w:rPr>
          <w:bCs/>
        </w:rPr>
        <w:t xml:space="preserve"> The informa</w:t>
      </w:r>
      <w:r w:rsidR="001C447F">
        <w:rPr>
          <w:bCs/>
        </w:rPr>
        <w:t>tion that can be sent with the notification s</w:t>
      </w:r>
      <w:r w:rsidRPr="00995423">
        <w:rPr>
          <w:bCs/>
        </w:rPr>
        <w:t>ystem includes but is not limited to:</w:t>
      </w:r>
      <w:r w:rsidR="001C447F">
        <w:rPr>
          <w:bCs/>
        </w:rPr>
        <w:t xml:space="preserve"> active shooter notifications, u</w:t>
      </w:r>
      <w:r w:rsidRPr="00995423">
        <w:rPr>
          <w:bCs/>
        </w:rPr>
        <w:t xml:space="preserve">pdates with </w:t>
      </w:r>
      <w:r w:rsidR="001C447F">
        <w:rPr>
          <w:bCs/>
        </w:rPr>
        <w:t>further instructions during an active shooter event, close of b</w:t>
      </w:r>
      <w:r w:rsidRPr="00995423">
        <w:rPr>
          <w:bCs/>
        </w:rPr>
        <w:t>usiness notifications due to extreme weather.  </w:t>
      </w:r>
      <w:r w:rsidRPr="00995423">
        <w:t xml:space="preserve">MIR3 </w:t>
      </w:r>
      <w:r w:rsidR="00155C31">
        <w:t xml:space="preserve">also </w:t>
      </w:r>
      <w:r w:rsidRPr="00995423">
        <w:t xml:space="preserve">provides reporting statistics. </w:t>
      </w:r>
      <w:r w:rsidRPr="00995423">
        <w:rPr>
          <w:bCs/>
        </w:rPr>
        <w:t xml:space="preserve">Reporting is necessary during an event, after an event, and for testing. During an event reporting can be used to drill down to an employee level </w:t>
      </w:r>
      <w:r w:rsidR="001C447F">
        <w:rPr>
          <w:bCs/>
        </w:rPr>
        <w:t>to</w:t>
      </w:r>
      <w:r w:rsidRPr="00995423">
        <w:rPr>
          <w:bCs/>
        </w:rPr>
        <w:t xml:space="preserve"> see </w:t>
      </w:r>
      <w:r w:rsidR="001C447F">
        <w:rPr>
          <w:bCs/>
        </w:rPr>
        <w:t>who</w:t>
      </w:r>
      <w:r w:rsidRPr="00995423">
        <w:rPr>
          <w:bCs/>
        </w:rPr>
        <w:t xml:space="preserve"> received a notification and if a response was captured. After an event, reporting will be necessary for statistical purposes. Reporting is also used in testing to ensure that employees are receiving the notifications in a timely manner.</w:t>
      </w:r>
    </w:p>
    <w:p w:rsidR="003B666C" w:rsidRPr="004A52A5" w:rsidRDefault="003B666C" w:rsidP="001C447F">
      <w:pPr>
        <w:pStyle w:val="TextL2"/>
        <w:numPr>
          <w:ilvl w:val="0"/>
          <w:numId w:val="17"/>
        </w:numPr>
        <w:spacing w:before="240"/>
        <w:jc w:val="both"/>
      </w:pPr>
      <w:r w:rsidRPr="004A52A5">
        <w:t>The system should provide a means to  send information to 2</w:t>
      </w:r>
      <w:r w:rsidR="000F0CA4">
        <w:t>,</w:t>
      </w:r>
      <w:r w:rsidRPr="004A52A5">
        <w:t>500+ employees through multiple notification platforms including:</w:t>
      </w:r>
    </w:p>
    <w:p w:rsidR="003B666C" w:rsidRPr="004A52A5" w:rsidRDefault="00611ADD" w:rsidP="001C447F">
      <w:pPr>
        <w:pStyle w:val="TextL3"/>
        <w:numPr>
          <w:ilvl w:val="0"/>
          <w:numId w:val="21"/>
        </w:numPr>
        <w:tabs>
          <w:tab w:val="left" w:pos="1440"/>
        </w:tabs>
        <w:ind w:left="1440" w:hanging="450"/>
        <w:jc w:val="both"/>
      </w:pPr>
      <w:r>
        <w:t>Phone Call – L</w:t>
      </w:r>
      <w:r w:rsidR="003B666C" w:rsidRPr="004A52A5">
        <w:t>andline</w:t>
      </w:r>
    </w:p>
    <w:p w:rsidR="003B666C" w:rsidRPr="004A52A5" w:rsidRDefault="003B666C" w:rsidP="001C447F">
      <w:pPr>
        <w:pStyle w:val="TextL3"/>
        <w:tabs>
          <w:tab w:val="left" w:pos="1440"/>
        </w:tabs>
        <w:ind w:left="1440" w:hanging="450"/>
        <w:jc w:val="both"/>
      </w:pPr>
      <w:r w:rsidRPr="004A52A5">
        <w:t xml:space="preserve">Phone Call – Cellular </w:t>
      </w:r>
    </w:p>
    <w:p w:rsidR="003B666C" w:rsidRPr="004A52A5" w:rsidRDefault="003B666C" w:rsidP="001C447F">
      <w:pPr>
        <w:pStyle w:val="TextL3"/>
        <w:tabs>
          <w:tab w:val="left" w:pos="1440"/>
        </w:tabs>
        <w:ind w:left="1440" w:hanging="450"/>
        <w:jc w:val="both"/>
      </w:pPr>
      <w:r w:rsidRPr="004A52A5">
        <w:t>SMS Text</w:t>
      </w:r>
      <w:r w:rsidR="00611ADD">
        <w:t xml:space="preserve"> Messaging </w:t>
      </w:r>
    </w:p>
    <w:p w:rsidR="003B666C" w:rsidRPr="004A52A5" w:rsidRDefault="003B666C" w:rsidP="001C447F">
      <w:pPr>
        <w:pStyle w:val="TextL3"/>
        <w:tabs>
          <w:tab w:val="left" w:pos="1440"/>
        </w:tabs>
        <w:ind w:left="1440" w:hanging="450"/>
        <w:jc w:val="both"/>
      </w:pPr>
      <w:r w:rsidRPr="004A52A5">
        <w:t>E-mail</w:t>
      </w:r>
    </w:p>
    <w:p w:rsidR="003B666C" w:rsidRPr="004A52A5" w:rsidRDefault="003B666C" w:rsidP="001C447F">
      <w:pPr>
        <w:pStyle w:val="TextL3"/>
        <w:tabs>
          <w:tab w:val="left" w:pos="1440"/>
        </w:tabs>
        <w:ind w:left="1440" w:hanging="450"/>
        <w:jc w:val="both"/>
      </w:pPr>
      <w:r w:rsidRPr="004A52A5">
        <w:t>Desktop Alerting</w:t>
      </w:r>
    </w:p>
    <w:p w:rsidR="00592B72" w:rsidRPr="004A52A5" w:rsidRDefault="00592B72" w:rsidP="001C447F">
      <w:pPr>
        <w:pStyle w:val="TextL2"/>
        <w:jc w:val="both"/>
      </w:pPr>
      <w:r w:rsidRPr="004A52A5">
        <w:t xml:space="preserve">The system should provide desktop alerting functionality that </w:t>
      </w:r>
      <w:r w:rsidR="00611ADD">
        <w:t>supersedes</w:t>
      </w:r>
      <w:r w:rsidRPr="004A52A5">
        <w:t xml:space="preserve"> all </w:t>
      </w:r>
      <w:r w:rsidR="00611ADD">
        <w:t xml:space="preserve">other </w:t>
      </w:r>
      <w:r w:rsidRPr="004A52A5">
        <w:t>open windows of each employee’s</w:t>
      </w:r>
      <w:r w:rsidR="00995423">
        <w:t xml:space="preserve"> networked</w:t>
      </w:r>
      <w:r w:rsidRPr="004A52A5">
        <w:t xml:space="preserve"> computer. </w:t>
      </w:r>
    </w:p>
    <w:p w:rsidR="00592B72" w:rsidRPr="004A52A5" w:rsidRDefault="00592B72" w:rsidP="001C447F">
      <w:pPr>
        <w:pStyle w:val="TextL2"/>
        <w:jc w:val="both"/>
      </w:pPr>
      <w:r w:rsidRPr="004A52A5">
        <w:t>The system should provide</w:t>
      </w:r>
      <w:r w:rsidR="00611ADD">
        <w:t xml:space="preserve"> System I</w:t>
      </w:r>
      <w:r w:rsidRPr="004A52A5">
        <w:t xml:space="preserve">nitiators with the ability to send broadcast notifications </w:t>
      </w:r>
      <w:r w:rsidR="00611ADD">
        <w:t>to</w:t>
      </w:r>
      <w:r w:rsidRPr="004A52A5">
        <w:t xml:space="preserve"> target groups or employees based on specific criteria.</w:t>
      </w:r>
    </w:p>
    <w:p w:rsidR="00592B72" w:rsidRPr="004A52A5" w:rsidRDefault="00611ADD" w:rsidP="001C447F">
      <w:pPr>
        <w:pStyle w:val="TextL2"/>
        <w:jc w:val="both"/>
      </w:pPr>
      <w:r>
        <w:t>System I</w:t>
      </w:r>
      <w:r w:rsidR="00592B72" w:rsidRPr="004A52A5">
        <w:t>nitiators should have the ability to send pre-set or on-the-fly notifications.</w:t>
      </w:r>
    </w:p>
    <w:p w:rsidR="00592B72" w:rsidRPr="004A52A5" w:rsidRDefault="00AC469B" w:rsidP="001C447F">
      <w:pPr>
        <w:pStyle w:val="TextL2"/>
        <w:jc w:val="both"/>
      </w:pPr>
      <w:r>
        <w:t>The system</w:t>
      </w:r>
      <w:r w:rsidR="00611ADD">
        <w:t xml:space="preserve"> should allow I</w:t>
      </w:r>
      <w:r w:rsidR="00592B72" w:rsidRPr="004A52A5">
        <w:t>nitiators to specify the order in which the notification platforms send notifications.</w:t>
      </w:r>
    </w:p>
    <w:p w:rsidR="00592B72" w:rsidRPr="004A52A5" w:rsidRDefault="00EF7152" w:rsidP="001C447F">
      <w:pPr>
        <w:pStyle w:val="TextL2"/>
        <w:jc w:val="both"/>
      </w:pPr>
      <w:r>
        <w:t>System I</w:t>
      </w:r>
      <w:r w:rsidR="00592B72" w:rsidRPr="004A52A5">
        <w:t>nitiators should be able to specify the timing between the notification platforms.</w:t>
      </w:r>
    </w:p>
    <w:p w:rsidR="00592B72" w:rsidRPr="004A52A5" w:rsidRDefault="00592B72" w:rsidP="001C447F">
      <w:pPr>
        <w:pStyle w:val="TextL2"/>
        <w:jc w:val="both"/>
      </w:pPr>
      <w:r w:rsidRPr="004A52A5">
        <w:t>The system should allow for a configurable duration period of notifications.</w:t>
      </w:r>
    </w:p>
    <w:p w:rsidR="00592B72" w:rsidRPr="004A52A5" w:rsidRDefault="00592B72" w:rsidP="001C447F">
      <w:pPr>
        <w:pStyle w:val="TextL2"/>
        <w:jc w:val="both"/>
      </w:pPr>
      <w:r w:rsidRPr="004A52A5">
        <w:t>The system should provide multiple notification initiation methods including:</w:t>
      </w:r>
    </w:p>
    <w:p w:rsidR="00592B72" w:rsidRPr="004A52A5" w:rsidRDefault="00EF7152" w:rsidP="001C447F">
      <w:pPr>
        <w:pStyle w:val="TextL3"/>
        <w:numPr>
          <w:ilvl w:val="0"/>
          <w:numId w:val="23"/>
        </w:numPr>
        <w:tabs>
          <w:tab w:val="left" w:pos="1440"/>
        </w:tabs>
        <w:ind w:left="1440" w:hanging="450"/>
        <w:jc w:val="both"/>
      </w:pPr>
      <w:r>
        <w:t>Web A</w:t>
      </w:r>
      <w:r w:rsidR="00592B72" w:rsidRPr="004A52A5">
        <w:t>pplication</w:t>
      </w:r>
    </w:p>
    <w:p w:rsidR="00592B72" w:rsidRPr="004A52A5" w:rsidRDefault="00EF7152" w:rsidP="001C447F">
      <w:pPr>
        <w:pStyle w:val="TextL3"/>
        <w:numPr>
          <w:ilvl w:val="0"/>
          <w:numId w:val="21"/>
        </w:numPr>
        <w:tabs>
          <w:tab w:val="left" w:pos="1440"/>
        </w:tabs>
        <w:ind w:left="1440" w:hanging="450"/>
        <w:jc w:val="both"/>
      </w:pPr>
      <w:r>
        <w:t>i</w:t>
      </w:r>
      <w:r w:rsidR="00592B72" w:rsidRPr="004A52A5">
        <w:t>OS and/or Android Phone Application</w:t>
      </w:r>
    </w:p>
    <w:p w:rsidR="00592B72" w:rsidRPr="004A52A5" w:rsidRDefault="00592B72" w:rsidP="001C447F">
      <w:pPr>
        <w:pStyle w:val="TextL3"/>
        <w:numPr>
          <w:ilvl w:val="0"/>
          <w:numId w:val="21"/>
        </w:numPr>
        <w:tabs>
          <w:tab w:val="left" w:pos="1440"/>
        </w:tabs>
        <w:ind w:left="1440" w:hanging="450"/>
        <w:jc w:val="both"/>
      </w:pPr>
      <w:r w:rsidRPr="004A52A5">
        <w:t>E-mail</w:t>
      </w:r>
    </w:p>
    <w:p w:rsidR="00592B72" w:rsidRPr="004A52A5" w:rsidRDefault="00592B72" w:rsidP="001C447F">
      <w:pPr>
        <w:pStyle w:val="TextL3"/>
        <w:numPr>
          <w:ilvl w:val="0"/>
          <w:numId w:val="21"/>
        </w:numPr>
        <w:tabs>
          <w:tab w:val="left" w:pos="1440"/>
        </w:tabs>
        <w:ind w:left="1440" w:hanging="450"/>
        <w:jc w:val="both"/>
      </w:pPr>
      <w:r w:rsidRPr="004A52A5">
        <w:t>Phone Call</w:t>
      </w:r>
      <w:r w:rsidR="007207C4">
        <w:t xml:space="preserve"> (Initiated by Vendor or User)</w:t>
      </w:r>
    </w:p>
    <w:p w:rsidR="00592B72" w:rsidRPr="004A52A5" w:rsidRDefault="00EF7152" w:rsidP="001C447F">
      <w:pPr>
        <w:pStyle w:val="TextL2"/>
        <w:jc w:val="both"/>
      </w:pPr>
      <w:r>
        <w:t>The system should allow Administrators and I</w:t>
      </w:r>
      <w:r w:rsidR="00592B72" w:rsidRPr="004A52A5">
        <w:t>nitiators to track real-time notification delivery and responses.</w:t>
      </w:r>
    </w:p>
    <w:p w:rsidR="00592B72" w:rsidRPr="004A52A5" w:rsidRDefault="00592B72" w:rsidP="004A52A5">
      <w:pPr>
        <w:pStyle w:val="TextL2"/>
        <w:jc w:val="both"/>
      </w:pPr>
      <w:r w:rsidRPr="004A52A5">
        <w:t xml:space="preserve">The system should provide a dashboard view of notifications with real-time and past notification data. </w:t>
      </w:r>
    </w:p>
    <w:p w:rsidR="00592B72" w:rsidRPr="004A52A5" w:rsidRDefault="00592B72" w:rsidP="004A52A5">
      <w:pPr>
        <w:pStyle w:val="TextL2"/>
        <w:jc w:val="both"/>
      </w:pPr>
      <w:r w:rsidRPr="004A52A5">
        <w:lastRenderedPageBreak/>
        <w:t xml:space="preserve">The system </w:t>
      </w:r>
      <w:r w:rsidR="00324C4A">
        <w:t>needs to</w:t>
      </w:r>
      <w:r w:rsidRPr="004A52A5">
        <w:t xml:space="preserve"> possess </w:t>
      </w:r>
      <w:r w:rsidR="00EF7152">
        <w:t>Open Authorization (OAuth)</w:t>
      </w:r>
      <w:r w:rsidRPr="004A52A5">
        <w:t xml:space="preserve"> functionality for seamless authentication of administrators.</w:t>
      </w:r>
    </w:p>
    <w:p w:rsidR="00592B72" w:rsidRPr="004A52A5" w:rsidRDefault="00592B72" w:rsidP="004A52A5">
      <w:pPr>
        <w:pStyle w:val="TextL2"/>
        <w:jc w:val="both"/>
      </w:pPr>
      <w:r w:rsidRPr="004A52A5">
        <w:t xml:space="preserve">The system </w:t>
      </w:r>
      <w:r w:rsidR="00324C4A">
        <w:t>needs to</w:t>
      </w:r>
      <w:r w:rsidRPr="004A52A5">
        <w:t xml:space="preserve"> support Active Directory integration and sync via LDAP Sync.</w:t>
      </w:r>
    </w:p>
    <w:p w:rsidR="00592B72" w:rsidRPr="004A52A5" w:rsidRDefault="00592B72" w:rsidP="004A52A5">
      <w:pPr>
        <w:pStyle w:val="TextL2"/>
        <w:jc w:val="both"/>
      </w:pPr>
      <w:r w:rsidRPr="004A52A5">
        <w:t xml:space="preserve">The system </w:t>
      </w:r>
      <w:r w:rsidR="00324C4A">
        <w:t>needs to</w:t>
      </w:r>
      <w:r w:rsidRPr="004A52A5">
        <w:t xml:space="preserve"> allow for dynamic or static employee groups.</w:t>
      </w:r>
    </w:p>
    <w:p w:rsidR="00592B72" w:rsidRPr="004A52A5" w:rsidRDefault="00AC469B" w:rsidP="004A52A5">
      <w:pPr>
        <w:pStyle w:val="TextL2"/>
        <w:jc w:val="both"/>
      </w:pPr>
      <w:r>
        <w:t>The system needs to be</w:t>
      </w:r>
      <w:r w:rsidR="00324C4A">
        <w:t xml:space="preserve"> </w:t>
      </w:r>
      <w:r w:rsidR="00324C4A" w:rsidRPr="004A52A5">
        <w:t>web</w:t>
      </w:r>
      <w:r w:rsidR="00592B72" w:rsidRPr="004A52A5">
        <w:t xml:space="preserve"> based and cloud hosted.</w:t>
      </w:r>
    </w:p>
    <w:p w:rsidR="00592B72" w:rsidRPr="004A52A5" w:rsidRDefault="00592B72" w:rsidP="004A52A5">
      <w:pPr>
        <w:pStyle w:val="TextL2"/>
        <w:jc w:val="both"/>
      </w:pPr>
      <w:r w:rsidRPr="004A52A5">
        <w:t xml:space="preserve">The system </w:t>
      </w:r>
      <w:r w:rsidR="00324C4A">
        <w:t>needs to</w:t>
      </w:r>
      <w:r w:rsidR="00EF7152">
        <w:t xml:space="preserve"> allow System A</w:t>
      </w:r>
      <w:r w:rsidRPr="004A52A5">
        <w:t xml:space="preserve">dministrators and </w:t>
      </w:r>
      <w:r w:rsidR="00EF7152">
        <w:t>S</w:t>
      </w:r>
      <w:r w:rsidRPr="004A52A5">
        <w:t xml:space="preserve">ystem </w:t>
      </w:r>
      <w:r w:rsidR="00EF7152">
        <w:t>I</w:t>
      </w:r>
      <w:r w:rsidRPr="004A52A5">
        <w:t xml:space="preserve">nitiators to export and print notification reports. </w:t>
      </w:r>
    </w:p>
    <w:p w:rsidR="00592B72" w:rsidRPr="004A52A5" w:rsidRDefault="00592B72" w:rsidP="004A52A5">
      <w:pPr>
        <w:keepNext/>
        <w:widowControl w:val="0"/>
        <w:numPr>
          <w:ilvl w:val="0"/>
          <w:numId w:val="12"/>
        </w:numPr>
        <w:autoSpaceDE w:val="0"/>
        <w:autoSpaceDN w:val="0"/>
        <w:adjustRightInd w:val="0"/>
        <w:spacing w:line="269" w:lineRule="auto"/>
        <w:ind w:left="360" w:hanging="360"/>
        <w:rPr>
          <w:rFonts w:eastAsia="Times New Roman"/>
          <w:b/>
          <w:bCs/>
        </w:rPr>
      </w:pPr>
      <w:r w:rsidRPr="004A52A5">
        <w:rPr>
          <w:rFonts w:eastAsia="Times New Roman"/>
          <w:b/>
          <w:bCs/>
        </w:rPr>
        <w:t>Reporting Requirements</w:t>
      </w:r>
    </w:p>
    <w:p w:rsidR="00592B72" w:rsidRPr="00EA4FDC" w:rsidRDefault="00592B72" w:rsidP="00421EF7">
      <w:pPr>
        <w:pStyle w:val="TextL2"/>
        <w:numPr>
          <w:ilvl w:val="0"/>
          <w:numId w:val="13"/>
        </w:numPr>
        <w:spacing w:before="240"/>
        <w:ind w:left="994"/>
        <w:jc w:val="both"/>
      </w:pPr>
      <w:r w:rsidRPr="00EA4FDC">
        <w:t>A report should be available for all notif</w:t>
      </w:r>
      <w:r w:rsidR="00EF7152">
        <w:t>ications that are initiated. A S</w:t>
      </w:r>
      <w:r w:rsidRPr="00EA4FDC">
        <w:t xml:space="preserve">ystem </w:t>
      </w:r>
      <w:r w:rsidR="00EF7152">
        <w:t>A</w:t>
      </w:r>
      <w:r w:rsidRPr="00EA4FDC">
        <w:t>dministrator should see a high level view of each notification with the following data available:</w:t>
      </w:r>
    </w:p>
    <w:p w:rsidR="00592B72" w:rsidRPr="00EA4FDC" w:rsidRDefault="00EF7152" w:rsidP="00B177CE">
      <w:pPr>
        <w:pStyle w:val="TextL3"/>
        <w:numPr>
          <w:ilvl w:val="0"/>
          <w:numId w:val="25"/>
        </w:numPr>
        <w:tabs>
          <w:tab w:val="left" w:pos="1440"/>
        </w:tabs>
        <w:ind w:left="1530" w:hanging="540"/>
        <w:jc w:val="both"/>
      </w:pPr>
      <w:r>
        <w:t>Notification name/ d</w:t>
      </w:r>
      <w:r w:rsidR="00592B72" w:rsidRPr="00EA4FDC">
        <w:t>escription</w:t>
      </w:r>
    </w:p>
    <w:p w:rsidR="00592B72" w:rsidRPr="00EA4FDC" w:rsidRDefault="00592B72" w:rsidP="00B177CE">
      <w:pPr>
        <w:pStyle w:val="TextL3"/>
        <w:numPr>
          <w:ilvl w:val="0"/>
          <w:numId w:val="23"/>
        </w:numPr>
        <w:tabs>
          <w:tab w:val="left" w:pos="1440"/>
        </w:tabs>
        <w:ind w:left="1440" w:hanging="450"/>
        <w:jc w:val="both"/>
      </w:pPr>
      <w:r w:rsidRPr="00EA4FDC">
        <w:t>Issue date/ time</w:t>
      </w:r>
    </w:p>
    <w:p w:rsidR="00592B72" w:rsidRPr="00EA4FDC" w:rsidRDefault="00592B72" w:rsidP="00B177CE">
      <w:pPr>
        <w:pStyle w:val="TextL3"/>
        <w:numPr>
          <w:ilvl w:val="0"/>
          <w:numId w:val="23"/>
        </w:numPr>
        <w:tabs>
          <w:tab w:val="left" w:pos="1440"/>
        </w:tabs>
        <w:ind w:left="1440" w:hanging="450"/>
        <w:jc w:val="both"/>
      </w:pPr>
      <w:r w:rsidRPr="00EA4FDC">
        <w:t>Number of employees that responded</w:t>
      </w:r>
    </w:p>
    <w:p w:rsidR="00592B72" w:rsidRPr="00EA4FDC" w:rsidRDefault="00EF7152" w:rsidP="00B177CE">
      <w:pPr>
        <w:pStyle w:val="TextL3"/>
        <w:numPr>
          <w:ilvl w:val="0"/>
          <w:numId w:val="23"/>
        </w:numPr>
        <w:tabs>
          <w:tab w:val="left" w:pos="1440"/>
        </w:tabs>
        <w:ind w:left="1440" w:hanging="450"/>
        <w:jc w:val="both"/>
      </w:pPr>
      <w:r>
        <w:t>T</w:t>
      </w:r>
      <w:r w:rsidR="00592B72" w:rsidRPr="00EA4FDC">
        <w:t>ype of notification sent</w:t>
      </w:r>
    </w:p>
    <w:p w:rsidR="00592B72" w:rsidRPr="00EA4FDC" w:rsidRDefault="00EF7152" w:rsidP="00B177CE">
      <w:pPr>
        <w:pStyle w:val="TextL3"/>
        <w:numPr>
          <w:ilvl w:val="0"/>
          <w:numId w:val="23"/>
        </w:numPr>
        <w:tabs>
          <w:tab w:val="left" w:pos="1440"/>
        </w:tabs>
        <w:ind w:left="1440" w:hanging="450"/>
        <w:jc w:val="both"/>
      </w:pPr>
      <w:r>
        <w:t>D</w:t>
      </w:r>
      <w:r w:rsidR="00592B72" w:rsidRPr="00EA4FDC">
        <w:t>ate/ time of when notification duration was completed.</w:t>
      </w:r>
    </w:p>
    <w:p w:rsidR="00EF7152" w:rsidRDefault="00EF7152" w:rsidP="00EF7152">
      <w:pPr>
        <w:pStyle w:val="TextL2"/>
        <w:numPr>
          <w:ilvl w:val="0"/>
          <w:numId w:val="13"/>
        </w:numPr>
        <w:jc w:val="both"/>
      </w:pPr>
      <w:r>
        <w:t>Notifications must be able to be configured with canned response</w:t>
      </w:r>
    </w:p>
    <w:p w:rsidR="00EF7152" w:rsidRDefault="00EF7152" w:rsidP="00EF7152">
      <w:pPr>
        <w:pStyle w:val="TextL2"/>
        <w:numPr>
          <w:ilvl w:val="0"/>
          <w:numId w:val="13"/>
        </w:numPr>
      </w:pPr>
      <w:r>
        <w:t xml:space="preserve">MDOT must be able to set the canned response </w:t>
      </w:r>
    </w:p>
    <w:p w:rsidR="00592B72" w:rsidRPr="00EA4FDC" w:rsidRDefault="00EF7152" w:rsidP="00421EF7">
      <w:pPr>
        <w:pStyle w:val="TextL2"/>
        <w:numPr>
          <w:ilvl w:val="0"/>
          <w:numId w:val="13"/>
        </w:numPr>
        <w:jc w:val="both"/>
      </w:pPr>
      <w:r>
        <w:t>System A</w:t>
      </w:r>
      <w:r w:rsidR="00592B72" w:rsidRPr="00EA4FDC">
        <w:t xml:space="preserve">dministrators should be able to select completed notifications to see details of the including: </w:t>
      </w:r>
    </w:p>
    <w:p w:rsidR="00592B72" w:rsidRPr="00EA4FDC" w:rsidRDefault="00592B72" w:rsidP="00660772">
      <w:pPr>
        <w:pStyle w:val="TextL3"/>
        <w:numPr>
          <w:ilvl w:val="0"/>
          <w:numId w:val="27"/>
        </w:numPr>
        <w:tabs>
          <w:tab w:val="left" w:pos="1440"/>
        </w:tabs>
        <w:ind w:left="1440" w:hanging="450"/>
        <w:jc w:val="both"/>
      </w:pPr>
      <w:r w:rsidRPr="00EA4FDC">
        <w:t>Notification title</w:t>
      </w:r>
    </w:p>
    <w:p w:rsidR="00592B72" w:rsidRPr="00EA4FDC" w:rsidRDefault="007207C4" w:rsidP="00660772">
      <w:pPr>
        <w:pStyle w:val="TextL3"/>
        <w:numPr>
          <w:ilvl w:val="0"/>
          <w:numId w:val="25"/>
        </w:numPr>
        <w:tabs>
          <w:tab w:val="left" w:pos="1440"/>
        </w:tabs>
        <w:ind w:left="1530" w:hanging="540"/>
        <w:jc w:val="both"/>
      </w:pPr>
      <w:r>
        <w:t>View n</w:t>
      </w:r>
      <w:r w:rsidR="00592B72" w:rsidRPr="00EA4FDC">
        <w:t>otification type</w:t>
      </w:r>
    </w:p>
    <w:p w:rsidR="00592B72" w:rsidRPr="00EA4FDC" w:rsidRDefault="00592B72" w:rsidP="00660772">
      <w:pPr>
        <w:pStyle w:val="TextL3"/>
        <w:numPr>
          <w:ilvl w:val="0"/>
          <w:numId w:val="25"/>
        </w:numPr>
        <w:tabs>
          <w:tab w:val="left" w:pos="1440"/>
        </w:tabs>
        <w:ind w:left="1530" w:hanging="540"/>
        <w:jc w:val="both"/>
      </w:pPr>
      <w:r w:rsidRPr="00EA4FDC">
        <w:t>Who initiated the notification</w:t>
      </w:r>
    </w:p>
    <w:p w:rsidR="00592B72" w:rsidRPr="00EA4FDC" w:rsidRDefault="00592B72" w:rsidP="00660772">
      <w:pPr>
        <w:pStyle w:val="TextL3"/>
        <w:numPr>
          <w:ilvl w:val="0"/>
          <w:numId w:val="25"/>
        </w:numPr>
        <w:tabs>
          <w:tab w:val="left" w:pos="1440"/>
        </w:tabs>
        <w:ind w:left="1530" w:hanging="540"/>
        <w:jc w:val="both"/>
      </w:pPr>
      <w:r w:rsidRPr="00EA4FDC">
        <w:t>Issue date</w:t>
      </w:r>
      <w:r w:rsidR="006D359B">
        <w:t>/time</w:t>
      </w:r>
    </w:p>
    <w:p w:rsidR="00592B72" w:rsidRPr="00EA4FDC" w:rsidRDefault="00592B72" w:rsidP="00660772">
      <w:pPr>
        <w:pStyle w:val="TextL3"/>
        <w:numPr>
          <w:ilvl w:val="0"/>
          <w:numId w:val="25"/>
        </w:numPr>
        <w:tabs>
          <w:tab w:val="left" w:pos="1440"/>
        </w:tabs>
        <w:ind w:left="1530" w:hanging="540"/>
        <w:jc w:val="both"/>
      </w:pPr>
      <w:r w:rsidRPr="00EA4FDC">
        <w:t>Completed date</w:t>
      </w:r>
      <w:r w:rsidR="006D359B">
        <w:t>/time</w:t>
      </w:r>
    </w:p>
    <w:p w:rsidR="00592B72" w:rsidRPr="00EA4FDC" w:rsidRDefault="00592B72" w:rsidP="00660772">
      <w:pPr>
        <w:pStyle w:val="TextL3"/>
        <w:numPr>
          <w:ilvl w:val="0"/>
          <w:numId w:val="25"/>
        </w:numPr>
        <w:tabs>
          <w:tab w:val="left" w:pos="1440"/>
        </w:tabs>
        <w:ind w:left="1530" w:hanging="540"/>
        <w:jc w:val="both"/>
      </w:pPr>
      <w:r w:rsidRPr="00EA4FDC">
        <w:t>The notification message</w:t>
      </w:r>
    </w:p>
    <w:p w:rsidR="00592B72" w:rsidRPr="00EA4FDC" w:rsidRDefault="00592B72" w:rsidP="00660772">
      <w:pPr>
        <w:pStyle w:val="TextL3"/>
        <w:numPr>
          <w:ilvl w:val="0"/>
          <w:numId w:val="25"/>
        </w:numPr>
        <w:tabs>
          <w:tab w:val="left" w:pos="1440"/>
        </w:tabs>
        <w:ind w:left="1530" w:hanging="540"/>
        <w:jc w:val="both"/>
      </w:pPr>
      <w:r w:rsidRPr="00EA4FDC">
        <w:t>Total number of recipients</w:t>
      </w:r>
    </w:p>
    <w:p w:rsidR="00592B72" w:rsidRPr="00EA4FDC" w:rsidRDefault="00592B72" w:rsidP="00660772">
      <w:pPr>
        <w:pStyle w:val="TextL3"/>
        <w:numPr>
          <w:ilvl w:val="0"/>
          <w:numId w:val="25"/>
        </w:numPr>
        <w:tabs>
          <w:tab w:val="left" w:pos="1440"/>
        </w:tabs>
        <w:ind w:left="1530" w:hanging="540"/>
        <w:jc w:val="both"/>
      </w:pPr>
      <w:r w:rsidRPr="00EA4FDC">
        <w:t>Total number of recipients contacted</w:t>
      </w:r>
    </w:p>
    <w:p w:rsidR="00592B72" w:rsidRDefault="00592B72" w:rsidP="00660772">
      <w:pPr>
        <w:pStyle w:val="TextL3"/>
        <w:numPr>
          <w:ilvl w:val="0"/>
          <w:numId w:val="25"/>
        </w:numPr>
        <w:tabs>
          <w:tab w:val="left" w:pos="1440"/>
        </w:tabs>
        <w:ind w:left="1530" w:hanging="540"/>
        <w:jc w:val="both"/>
      </w:pPr>
      <w:r w:rsidRPr="00EA4FDC">
        <w:t>Total number of recipients that responded</w:t>
      </w:r>
    </w:p>
    <w:p w:rsidR="00592B72" w:rsidRPr="00EA4FDC" w:rsidRDefault="00EF7152" w:rsidP="00421EF7">
      <w:pPr>
        <w:pStyle w:val="TextL2"/>
        <w:numPr>
          <w:ilvl w:val="0"/>
          <w:numId w:val="13"/>
        </w:numPr>
        <w:jc w:val="both"/>
      </w:pPr>
      <w:r>
        <w:t>System A</w:t>
      </w:r>
      <w:r w:rsidR="00592B72" w:rsidRPr="00EA4FDC">
        <w:t>dministrators should be able to see the details for each recipient including</w:t>
      </w:r>
    </w:p>
    <w:p w:rsidR="00592B72" w:rsidRPr="00EA4FDC" w:rsidRDefault="00592B72" w:rsidP="003855C4">
      <w:pPr>
        <w:pStyle w:val="TextL3"/>
        <w:numPr>
          <w:ilvl w:val="0"/>
          <w:numId w:val="29"/>
        </w:numPr>
        <w:tabs>
          <w:tab w:val="left" w:pos="1440"/>
        </w:tabs>
        <w:ind w:left="1530" w:hanging="540"/>
        <w:jc w:val="both"/>
      </w:pPr>
      <w:r w:rsidRPr="00EA4FDC">
        <w:t xml:space="preserve">Issue time/ date </w:t>
      </w:r>
    </w:p>
    <w:p w:rsidR="00592B72" w:rsidRPr="00EA4FDC" w:rsidRDefault="00592B72" w:rsidP="003855C4">
      <w:pPr>
        <w:pStyle w:val="TextL3"/>
        <w:numPr>
          <w:ilvl w:val="0"/>
          <w:numId w:val="27"/>
        </w:numPr>
        <w:tabs>
          <w:tab w:val="left" w:pos="1440"/>
        </w:tabs>
        <w:ind w:left="1440" w:hanging="450"/>
        <w:jc w:val="both"/>
      </w:pPr>
      <w:r w:rsidRPr="00EA4FDC">
        <w:t>Response received</w:t>
      </w:r>
      <w:r w:rsidR="006D359B">
        <w:t xml:space="preserve"> – User should have the ability to select a canned response</w:t>
      </w:r>
    </w:p>
    <w:p w:rsidR="00592B72" w:rsidRPr="00EA4FDC" w:rsidRDefault="00592B72" w:rsidP="003855C4">
      <w:pPr>
        <w:pStyle w:val="TextL3"/>
        <w:numPr>
          <w:ilvl w:val="0"/>
          <w:numId w:val="27"/>
        </w:numPr>
        <w:tabs>
          <w:tab w:val="left" w:pos="1440"/>
        </w:tabs>
        <w:ind w:left="1440" w:hanging="450"/>
        <w:jc w:val="both"/>
      </w:pPr>
      <w:r w:rsidRPr="00EA4FDC">
        <w:t>Date/ time of response received</w:t>
      </w:r>
    </w:p>
    <w:p w:rsidR="00592B72" w:rsidRDefault="00592B72" w:rsidP="003855C4">
      <w:pPr>
        <w:pStyle w:val="TextL3"/>
        <w:numPr>
          <w:ilvl w:val="0"/>
          <w:numId w:val="27"/>
        </w:numPr>
        <w:tabs>
          <w:tab w:val="left" w:pos="1440"/>
        </w:tabs>
        <w:ind w:left="1440" w:hanging="450"/>
        <w:jc w:val="both"/>
      </w:pPr>
      <w:r w:rsidRPr="00EA4FDC">
        <w:t>Notification platform in which the employee responded</w:t>
      </w:r>
    </w:p>
    <w:p w:rsidR="00242019" w:rsidRPr="00EA4FDC" w:rsidRDefault="00557C5B" w:rsidP="00242019">
      <w:pPr>
        <w:pStyle w:val="TextL2"/>
        <w:numPr>
          <w:ilvl w:val="0"/>
          <w:numId w:val="13"/>
        </w:numPr>
        <w:jc w:val="both"/>
      </w:pPr>
      <w:r>
        <w:rPr>
          <w:bCs/>
        </w:rPr>
        <w:t xml:space="preserve">The </w:t>
      </w:r>
      <w:r w:rsidRPr="00242019">
        <w:rPr>
          <w:bCs/>
        </w:rPr>
        <w:t>Bidder</w:t>
      </w:r>
      <w:r>
        <w:rPr>
          <w:bCs/>
        </w:rPr>
        <w:t xml:space="preserve"> </w:t>
      </w:r>
      <w:r w:rsidRPr="00242019">
        <w:rPr>
          <w:bCs/>
        </w:rPr>
        <w:t>support</w:t>
      </w:r>
      <w:r w:rsidR="00242019" w:rsidRPr="00242019">
        <w:rPr>
          <w:bCs/>
        </w:rPr>
        <w:t xml:space="preserve"> representative </w:t>
      </w:r>
      <w:r w:rsidR="00242019">
        <w:rPr>
          <w:bCs/>
        </w:rPr>
        <w:t>should have the ability</w:t>
      </w:r>
      <w:r w:rsidR="00EF7152">
        <w:rPr>
          <w:bCs/>
        </w:rPr>
        <w:t xml:space="preserve"> to</w:t>
      </w:r>
      <w:r w:rsidR="00242019" w:rsidRPr="00242019">
        <w:rPr>
          <w:bCs/>
        </w:rPr>
        <w:t xml:space="preserve"> launch existing notifications on behalf of MDOT/customer upon authentication that the caller is a legitimate system initiator (“Initiation/ Activation”).</w:t>
      </w:r>
    </w:p>
    <w:p w:rsidR="00592B72" w:rsidRPr="004A52A5" w:rsidRDefault="00592B72" w:rsidP="00421EF7">
      <w:pPr>
        <w:pStyle w:val="TextL2"/>
        <w:numPr>
          <w:ilvl w:val="0"/>
          <w:numId w:val="13"/>
        </w:numPr>
        <w:jc w:val="both"/>
        <w:rPr>
          <w:rFonts w:cstheme="minorHAnsi"/>
        </w:rPr>
      </w:pPr>
      <w:r w:rsidRPr="004A52A5">
        <w:rPr>
          <w:rFonts w:cstheme="minorHAnsi"/>
        </w:rPr>
        <w:lastRenderedPageBreak/>
        <w:t>The s</w:t>
      </w:r>
      <w:r w:rsidR="00EF7152">
        <w:rPr>
          <w:rFonts w:cstheme="minorHAnsi"/>
        </w:rPr>
        <w:t>ystem should provide a way for System A</w:t>
      </w:r>
      <w:r w:rsidRPr="004A52A5">
        <w:rPr>
          <w:rFonts w:cstheme="minorHAnsi"/>
        </w:rPr>
        <w:t xml:space="preserve">dministrators to see the </w:t>
      </w:r>
      <w:r w:rsidRPr="004A52A5">
        <w:t>total</w:t>
      </w:r>
      <w:r w:rsidRPr="004A52A5">
        <w:rPr>
          <w:rFonts w:cstheme="minorHAnsi"/>
        </w:rPr>
        <w:t xml:space="preserve"> of responses for each notification platform per each notification including: </w:t>
      </w:r>
    </w:p>
    <w:p w:rsidR="00592B72" w:rsidRPr="00EA4FDC" w:rsidRDefault="00592B72" w:rsidP="004A52A5">
      <w:pPr>
        <w:pStyle w:val="TextL3"/>
        <w:numPr>
          <w:ilvl w:val="0"/>
          <w:numId w:val="31"/>
        </w:numPr>
        <w:tabs>
          <w:tab w:val="left" w:pos="1440"/>
        </w:tabs>
        <w:ind w:left="1530" w:hanging="540"/>
        <w:jc w:val="both"/>
      </w:pPr>
      <w:r w:rsidRPr="00EA4FDC">
        <w:t>Total responses</w:t>
      </w:r>
    </w:p>
    <w:p w:rsidR="00592B72" w:rsidRPr="00EA4FDC" w:rsidRDefault="001A0825" w:rsidP="004A52A5">
      <w:pPr>
        <w:pStyle w:val="TextL3"/>
        <w:numPr>
          <w:ilvl w:val="0"/>
          <w:numId w:val="29"/>
        </w:numPr>
        <w:tabs>
          <w:tab w:val="left" w:pos="1440"/>
        </w:tabs>
        <w:ind w:left="1530" w:hanging="540"/>
        <w:jc w:val="both"/>
      </w:pPr>
      <w:r>
        <w:t>Total c</w:t>
      </w:r>
      <w:r w:rsidR="00592B72" w:rsidRPr="00EA4FDC">
        <w:t>alls</w:t>
      </w:r>
    </w:p>
    <w:p w:rsidR="00592B72" w:rsidRPr="00EA4FDC" w:rsidRDefault="001A0825" w:rsidP="004A52A5">
      <w:pPr>
        <w:pStyle w:val="TextL3"/>
        <w:numPr>
          <w:ilvl w:val="0"/>
          <w:numId w:val="29"/>
        </w:numPr>
        <w:tabs>
          <w:tab w:val="left" w:pos="1440"/>
        </w:tabs>
        <w:ind w:left="1530" w:hanging="540"/>
        <w:jc w:val="both"/>
      </w:pPr>
      <w:r>
        <w:t>Total e</w:t>
      </w:r>
      <w:r w:rsidR="00592B72" w:rsidRPr="00EA4FDC">
        <w:t>mails</w:t>
      </w:r>
    </w:p>
    <w:p w:rsidR="00592B72" w:rsidRPr="00EA4FDC" w:rsidRDefault="00EF7152" w:rsidP="004A52A5">
      <w:pPr>
        <w:pStyle w:val="TextL3"/>
        <w:numPr>
          <w:ilvl w:val="0"/>
          <w:numId w:val="29"/>
        </w:numPr>
        <w:tabs>
          <w:tab w:val="left" w:pos="1440"/>
        </w:tabs>
        <w:ind w:left="1530" w:hanging="540"/>
        <w:jc w:val="both"/>
      </w:pPr>
      <w:r>
        <w:t>Total SMS text messages</w:t>
      </w:r>
    </w:p>
    <w:p w:rsidR="00592B72" w:rsidRPr="00EA4FDC" w:rsidRDefault="00592B72" w:rsidP="004A52A5">
      <w:pPr>
        <w:pStyle w:val="TextL3"/>
        <w:numPr>
          <w:ilvl w:val="0"/>
          <w:numId w:val="29"/>
        </w:numPr>
        <w:tabs>
          <w:tab w:val="left" w:pos="1440"/>
        </w:tabs>
        <w:ind w:left="1530" w:hanging="540"/>
        <w:jc w:val="both"/>
      </w:pPr>
      <w:r w:rsidRPr="00EA4FDC">
        <w:t>Total hang ups</w:t>
      </w:r>
    </w:p>
    <w:p w:rsidR="00592B72" w:rsidRPr="00EA4FDC" w:rsidRDefault="00592B72" w:rsidP="004A52A5">
      <w:pPr>
        <w:pStyle w:val="TextL3"/>
        <w:numPr>
          <w:ilvl w:val="0"/>
          <w:numId w:val="29"/>
        </w:numPr>
        <w:tabs>
          <w:tab w:val="left" w:pos="1440"/>
        </w:tabs>
        <w:ind w:left="1530" w:hanging="540"/>
        <w:jc w:val="both"/>
      </w:pPr>
      <w:r w:rsidRPr="00EA4FDC">
        <w:t>To</w:t>
      </w:r>
      <w:r w:rsidR="001A0825">
        <w:t>tal no a</w:t>
      </w:r>
      <w:r w:rsidRPr="00EA4FDC">
        <w:t>nswer</w:t>
      </w:r>
    </w:p>
    <w:p w:rsidR="00592B72" w:rsidRPr="00EA4FDC" w:rsidRDefault="001A0825" w:rsidP="004A52A5">
      <w:pPr>
        <w:pStyle w:val="TextL3"/>
        <w:numPr>
          <w:ilvl w:val="0"/>
          <w:numId w:val="29"/>
        </w:numPr>
        <w:tabs>
          <w:tab w:val="left" w:pos="1440"/>
        </w:tabs>
        <w:ind w:left="1530" w:hanging="540"/>
        <w:jc w:val="both"/>
      </w:pPr>
      <w:r>
        <w:t>Total b</w:t>
      </w:r>
      <w:r w:rsidR="00592B72" w:rsidRPr="00EA4FDC">
        <w:t>usy signals</w:t>
      </w:r>
    </w:p>
    <w:p w:rsidR="00592B72" w:rsidRPr="00EA4FDC" w:rsidRDefault="00592B72" w:rsidP="004A52A5">
      <w:pPr>
        <w:pStyle w:val="TextL3"/>
        <w:numPr>
          <w:ilvl w:val="0"/>
          <w:numId w:val="29"/>
        </w:numPr>
        <w:tabs>
          <w:tab w:val="left" w:pos="1440"/>
        </w:tabs>
        <w:ind w:left="1530" w:hanging="540"/>
        <w:jc w:val="both"/>
      </w:pPr>
      <w:r w:rsidRPr="00EA4FDC">
        <w:t>Total voicemails left</w:t>
      </w:r>
    </w:p>
    <w:p w:rsidR="00592B72" w:rsidRPr="004A52A5" w:rsidRDefault="00592B72" w:rsidP="00592B72">
      <w:pPr>
        <w:widowControl w:val="0"/>
        <w:numPr>
          <w:ilvl w:val="0"/>
          <w:numId w:val="12"/>
        </w:numPr>
        <w:autoSpaceDE w:val="0"/>
        <w:autoSpaceDN w:val="0"/>
        <w:adjustRightInd w:val="0"/>
        <w:spacing w:line="268" w:lineRule="auto"/>
        <w:ind w:left="360" w:hanging="360"/>
        <w:rPr>
          <w:b/>
          <w:bCs/>
        </w:rPr>
      </w:pPr>
      <w:r w:rsidRPr="004A52A5">
        <w:rPr>
          <w:rFonts w:eastAsia="Times New Roman"/>
          <w:b/>
          <w:bCs/>
        </w:rPr>
        <w:t>Security Requirements</w:t>
      </w:r>
    </w:p>
    <w:p w:rsidR="00C15F82" w:rsidRPr="004A52A5" w:rsidRDefault="001A0825" w:rsidP="00421EF7">
      <w:pPr>
        <w:pStyle w:val="TextL2"/>
        <w:numPr>
          <w:ilvl w:val="0"/>
          <w:numId w:val="14"/>
        </w:numPr>
        <w:spacing w:before="240"/>
        <w:ind w:left="994"/>
        <w:jc w:val="both"/>
        <w:rPr>
          <w:rFonts w:cstheme="minorHAnsi"/>
          <w:szCs w:val="24"/>
        </w:rPr>
      </w:pPr>
      <w:r>
        <w:rPr>
          <w:rFonts w:cstheme="minorHAnsi"/>
          <w:szCs w:val="24"/>
        </w:rPr>
        <w:t>The system should allow System Administrators full c</w:t>
      </w:r>
      <w:r w:rsidR="00C15F82" w:rsidRPr="004A52A5">
        <w:rPr>
          <w:rFonts w:cstheme="minorHAnsi"/>
          <w:szCs w:val="24"/>
        </w:rPr>
        <w:t>ontrol</w:t>
      </w:r>
      <w:r>
        <w:rPr>
          <w:rFonts w:cstheme="minorHAnsi"/>
          <w:szCs w:val="24"/>
        </w:rPr>
        <w:t xml:space="preserve"> of the system.</w:t>
      </w:r>
    </w:p>
    <w:p w:rsidR="00C15F82" w:rsidRDefault="001A0825" w:rsidP="00421EF7">
      <w:pPr>
        <w:pStyle w:val="TextL2"/>
        <w:numPr>
          <w:ilvl w:val="0"/>
          <w:numId w:val="13"/>
        </w:numPr>
        <w:jc w:val="both"/>
        <w:rPr>
          <w:rFonts w:cstheme="minorHAnsi"/>
          <w:szCs w:val="24"/>
        </w:rPr>
      </w:pPr>
      <w:r>
        <w:rPr>
          <w:rFonts w:cstheme="minorHAnsi"/>
          <w:szCs w:val="24"/>
        </w:rPr>
        <w:t xml:space="preserve">The system should allow for </w:t>
      </w:r>
      <w:r w:rsidR="00C15F82" w:rsidRPr="004A52A5">
        <w:rPr>
          <w:rFonts w:cstheme="minorHAnsi"/>
          <w:szCs w:val="24"/>
        </w:rPr>
        <w:t>System Initiators to create and initiate notifications</w:t>
      </w:r>
      <w:r>
        <w:rPr>
          <w:rFonts w:cstheme="minorHAnsi"/>
          <w:szCs w:val="24"/>
        </w:rPr>
        <w:t>.</w:t>
      </w:r>
    </w:p>
    <w:p w:rsidR="006D359B" w:rsidRPr="004A52A5" w:rsidRDefault="006D359B" w:rsidP="00421EF7">
      <w:pPr>
        <w:pStyle w:val="TextL2"/>
        <w:numPr>
          <w:ilvl w:val="0"/>
          <w:numId w:val="13"/>
        </w:numPr>
        <w:jc w:val="both"/>
        <w:rPr>
          <w:rFonts w:cstheme="minorHAnsi"/>
          <w:szCs w:val="24"/>
        </w:rPr>
      </w:pPr>
      <w:r>
        <w:rPr>
          <w:rFonts w:cstheme="minorHAnsi"/>
          <w:szCs w:val="24"/>
        </w:rPr>
        <w:t xml:space="preserve">Template notifications should be able to be created with duration periods configured. Once the duration has passed, the notification should </w:t>
      </w:r>
      <w:r w:rsidR="007207C4">
        <w:rPr>
          <w:rFonts w:cstheme="minorHAnsi"/>
          <w:szCs w:val="24"/>
        </w:rPr>
        <w:t>automatically</w:t>
      </w:r>
      <w:r>
        <w:rPr>
          <w:rFonts w:cstheme="minorHAnsi"/>
          <w:szCs w:val="24"/>
        </w:rPr>
        <w:t xml:space="preserve"> expire.</w:t>
      </w:r>
    </w:p>
    <w:p w:rsidR="005E16A0" w:rsidRPr="00557C5B" w:rsidRDefault="001A0825" w:rsidP="00557C5B">
      <w:pPr>
        <w:pStyle w:val="TextL2"/>
        <w:numPr>
          <w:ilvl w:val="0"/>
          <w:numId w:val="13"/>
        </w:numPr>
        <w:jc w:val="both"/>
        <w:rPr>
          <w:rFonts w:cstheme="minorHAnsi"/>
          <w:szCs w:val="24"/>
        </w:rPr>
      </w:pPr>
      <w:r>
        <w:rPr>
          <w:rFonts w:cstheme="minorHAnsi"/>
          <w:szCs w:val="24"/>
        </w:rPr>
        <w:t>The system should allow give recipients the ability</w:t>
      </w:r>
      <w:r w:rsidR="00C15F82" w:rsidRPr="004A52A5">
        <w:rPr>
          <w:rFonts w:cstheme="minorHAnsi"/>
          <w:szCs w:val="24"/>
        </w:rPr>
        <w:t xml:space="preserve"> to receive notifications</w:t>
      </w:r>
      <w:r>
        <w:rPr>
          <w:rFonts w:cstheme="minorHAnsi"/>
          <w:szCs w:val="24"/>
        </w:rPr>
        <w:t>.</w:t>
      </w:r>
    </w:p>
    <w:p w:rsidR="00C15F82" w:rsidRPr="004A52A5" w:rsidRDefault="00C15F82" w:rsidP="00C15F82">
      <w:pPr>
        <w:widowControl w:val="0"/>
        <w:numPr>
          <w:ilvl w:val="0"/>
          <w:numId w:val="12"/>
        </w:numPr>
        <w:autoSpaceDE w:val="0"/>
        <w:autoSpaceDN w:val="0"/>
        <w:adjustRightInd w:val="0"/>
        <w:spacing w:line="268" w:lineRule="auto"/>
        <w:ind w:left="360" w:hanging="360"/>
        <w:rPr>
          <w:b/>
          <w:bCs/>
        </w:rPr>
      </w:pPr>
      <w:r w:rsidRPr="004A52A5">
        <w:rPr>
          <w:rFonts w:eastAsia="Times New Roman"/>
          <w:b/>
          <w:bCs/>
          <w:szCs w:val="24"/>
        </w:rPr>
        <w:t>Integration/Interfaces Requirements</w:t>
      </w:r>
    </w:p>
    <w:p w:rsidR="00C15F82" w:rsidRDefault="006D359B" w:rsidP="00EF7152">
      <w:pPr>
        <w:pStyle w:val="TextL2"/>
        <w:numPr>
          <w:ilvl w:val="0"/>
          <w:numId w:val="15"/>
        </w:numPr>
        <w:spacing w:before="240"/>
        <w:ind w:left="1080" w:hanging="450"/>
        <w:jc w:val="both"/>
        <w:rPr>
          <w:rFonts w:cstheme="minorHAnsi"/>
          <w:szCs w:val="24"/>
        </w:rPr>
      </w:pPr>
      <w:r w:rsidRPr="004A52A5">
        <w:rPr>
          <w:rFonts w:cstheme="minorHAnsi"/>
          <w:szCs w:val="24"/>
        </w:rPr>
        <w:t>Active Directory integration and sync via LDAP Sync</w:t>
      </w:r>
      <w:r>
        <w:rPr>
          <w:rFonts w:cstheme="minorHAnsi"/>
          <w:szCs w:val="24"/>
        </w:rPr>
        <w:t xml:space="preserve"> m</w:t>
      </w:r>
      <w:r w:rsidRPr="006D359B">
        <w:rPr>
          <w:rFonts w:cstheme="minorHAnsi"/>
          <w:szCs w:val="24"/>
        </w:rPr>
        <w:t>ust be compatible with Windows 2012R2 or Windows 2016</w:t>
      </w:r>
      <w:r w:rsidR="00C15F82" w:rsidRPr="006D359B">
        <w:rPr>
          <w:rFonts w:cstheme="minorHAnsi"/>
          <w:szCs w:val="24"/>
        </w:rPr>
        <w:t>.</w:t>
      </w:r>
    </w:p>
    <w:p w:rsidR="00242019" w:rsidRPr="00242019" w:rsidRDefault="00242019" w:rsidP="00EF7152">
      <w:pPr>
        <w:pStyle w:val="TextL2"/>
        <w:numPr>
          <w:ilvl w:val="0"/>
          <w:numId w:val="15"/>
        </w:numPr>
        <w:spacing w:before="240"/>
        <w:ind w:left="1080" w:hanging="450"/>
        <w:jc w:val="both"/>
        <w:rPr>
          <w:rFonts w:cstheme="minorHAnsi"/>
          <w:szCs w:val="24"/>
        </w:rPr>
      </w:pPr>
      <w:r w:rsidRPr="00242019">
        <w:rPr>
          <w:rFonts w:cstheme="minorHAnsi"/>
          <w:szCs w:val="24"/>
        </w:rPr>
        <w:t xml:space="preserve">A daily sync exported from AD and sent through the </w:t>
      </w:r>
      <w:r>
        <w:rPr>
          <w:rFonts w:cstheme="minorHAnsi"/>
          <w:szCs w:val="24"/>
        </w:rPr>
        <w:t>Bidders</w:t>
      </w:r>
      <w:r w:rsidRPr="00242019">
        <w:rPr>
          <w:rFonts w:cstheme="minorHAnsi"/>
          <w:szCs w:val="24"/>
        </w:rPr>
        <w:t xml:space="preserve"> intermediary process to the cloud-based mass notification system.</w:t>
      </w:r>
    </w:p>
    <w:p w:rsidR="00466A09" w:rsidRDefault="00466A09" w:rsidP="00466A09">
      <w:pPr>
        <w:widowControl w:val="0"/>
        <w:numPr>
          <w:ilvl w:val="0"/>
          <w:numId w:val="12"/>
        </w:numPr>
        <w:autoSpaceDE w:val="0"/>
        <w:autoSpaceDN w:val="0"/>
        <w:adjustRightInd w:val="0"/>
        <w:spacing w:line="268" w:lineRule="auto"/>
        <w:ind w:left="360" w:hanging="360"/>
        <w:rPr>
          <w:rFonts w:eastAsia="Times New Roman"/>
          <w:b/>
          <w:bCs/>
          <w:szCs w:val="24"/>
        </w:rPr>
      </w:pPr>
      <w:r>
        <w:rPr>
          <w:rFonts w:eastAsia="Times New Roman"/>
          <w:b/>
          <w:bCs/>
          <w:szCs w:val="24"/>
        </w:rPr>
        <w:t>Support</w:t>
      </w:r>
      <w:r w:rsidRPr="00466A09">
        <w:rPr>
          <w:rFonts w:eastAsia="Times New Roman"/>
          <w:b/>
          <w:bCs/>
          <w:szCs w:val="24"/>
        </w:rPr>
        <w:t xml:space="preserve"> Requirements</w:t>
      </w:r>
    </w:p>
    <w:p w:rsidR="00466A09" w:rsidRPr="00494D53" w:rsidRDefault="00493DEE" w:rsidP="001A0825">
      <w:pPr>
        <w:pStyle w:val="TextL2"/>
        <w:numPr>
          <w:ilvl w:val="0"/>
          <w:numId w:val="34"/>
        </w:numPr>
        <w:spacing w:before="240"/>
        <w:jc w:val="both"/>
        <w:rPr>
          <w:rFonts w:eastAsia="Times New Roman"/>
          <w:bCs/>
          <w:szCs w:val="24"/>
        </w:rPr>
      </w:pPr>
      <w:r w:rsidRPr="001A0825">
        <w:rPr>
          <w:rFonts w:cstheme="minorHAnsi"/>
          <w:szCs w:val="24"/>
        </w:rPr>
        <w:t>Bidder</w:t>
      </w:r>
      <w:r w:rsidR="005E16A0" w:rsidRPr="001A0825">
        <w:rPr>
          <w:rFonts w:cstheme="minorHAnsi"/>
          <w:szCs w:val="24"/>
        </w:rPr>
        <w:t xml:space="preserve"> must</w:t>
      </w:r>
      <w:r w:rsidR="00AC7800" w:rsidRPr="001A0825">
        <w:rPr>
          <w:rFonts w:cstheme="minorHAnsi"/>
          <w:szCs w:val="24"/>
        </w:rPr>
        <w:t xml:space="preserve"> describe </w:t>
      </w:r>
      <w:r w:rsidR="001A0825" w:rsidRPr="001A0825">
        <w:rPr>
          <w:rFonts w:cstheme="minorHAnsi"/>
          <w:szCs w:val="24"/>
        </w:rPr>
        <w:t xml:space="preserve">in detail </w:t>
      </w:r>
      <w:r w:rsidR="00AC7800" w:rsidRPr="001A0825">
        <w:rPr>
          <w:rFonts w:cstheme="minorHAnsi"/>
          <w:szCs w:val="24"/>
        </w:rPr>
        <w:t>what support is offered</w:t>
      </w:r>
      <w:r w:rsidR="001A0825" w:rsidRPr="001A0825">
        <w:rPr>
          <w:rFonts w:cstheme="minorHAnsi"/>
          <w:szCs w:val="24"/>
        </w:rPr>
        <w:t xml:space="preserve"> with their proposed system</w:t>
      </w:r>
      <w:r w:rsidR="00AC7800" w:rsidRPr="001A0825">
        <w:rPr>
          <w:rFonts w:cstheme="minorHAnsi"/>
          <w:szCs w:val="24"/>
        </w:rPr>
        <w:t>.</w:t>
      </w:r>
    </w:p>
    <w:p w:rsidR="00494D53" w:rsidRPr="00320909" w:rsidRDefault="00557C5B" w:rsidP="001A0825">
      <w:pPr>
        <w:pStyle w:val="TextL2"/>
        <w:numPr>
          <w:ilvl w:val="0"/>
          <w:numId w:val="34"/>
        </w:numPr>
        <w:spacing w:before="240"/>
        <w:jc w:val="both"/>
        <w:rPr>
          <w:rFonts w:eastAsia="Times New Roman"/>
          <w:bCs/>
          <w:szCs w:val="24"/>
        </w:rPr>
      </w:pPr>
      <w:r>
        <w:rPr>
          <w:rFonts w:cstheme="minorHAnsi"/>
          <w:szCs w:val="24"/>
        </w:rPr>
        <w:t>Bidder</w:t>
      </w:r>
      <w:r w:rsidR="00494D53">
        <w:rPr>
          <w:rFonts w:cstheme="minorHAnsi"/>
          <w:szCs w:val="24"/>
        </w:rPr>
        <w:t xml:space="preserve"> must include how t</w:t>
      </w:r>
      <w:r w:rsidR="00621560">
        <w:rPr>
          <w:rFonts w:cstheme="minorHAnsi"/>
          <w:szCs w:val="24"/>
        </w:rPr>
        <w:t>o contact support and</w:t>
      </w:r>
      <w:r w:rsidR="00320909">
        <w:rPr>
          <w:rFonts w:cstheme="minorHAnsi"/>
          <w:szCs w:val="24"/>
        </w:rPr>
        <w:t xml:space="preserve"> </w:t>
      </w:r>
      <w:r w:rsidR="00EF7152">
        <w:rPr>
          <w:rFonts w:cstheme="minorHAnsi"/>
          <w:szCs w:val="24"/>
        </w:rPr>
        <w:t>put in a trouble</w:t>
      </w:r>
      <w:r w:rsidR="00320909">
        <w:rPr>
          <w:rFonts w:cstheme="minorHAnsi"/>
          <w:szCs w:val="24"/>
        </w:rPr>
        <w:t xml:space="preserve"> ticket.</w:t>
      </w:r>
    </w:p>
    <w:p w:rsidR="00320909" w:rsidRPr="00320909" w:rsidRDefault="00557C5B" w:rsidP="001A0825">
      <w:pPr>
        <w:pStyle w:val="TextL2"/>
        <w:numPr>
          <w:ilvl w:val="0"/>
          <w:numId w:val="34"/>
        </w:numPr>
        <w:spacing w:before="240"/>
        <w:jc w:val="both"/>
        <w:rPr>
          <w:rFonts w:eastAsia="Times New Roman"/>
          <w:bCs/>
          <w:szCs w:val="24"/>
        </w:rPr>
      </w:pPr>
      <w:r>
        <w:rPr>
          <w:rFonts w:cstheme="minorHAnsi"/>
          <w:szCs w:val="24"/>
        </w:rPr>
        <w:t>Bidder</w:t>
      </w:r>
      <w:r w:rsidR="00320909">
        <w:rPr>
          <w:rFonts w:cstheme="minorHAnsi"/>
          <w:szCs w:val="24"/>
        </w:rPr>
        <w:t xml:space="preserve"> must provide 24-7 unlimited email and </w:t>
      </w:r>
      <w:r w:rsidR="00242019">
        <w:rPr>
          <w:rFonts w:cstheme="minorHAnsi"/>
          <w:szCs w:val="24"/>
        </w:rPr>
        <w:t xml:space="preserve">24-7 </w:t>
      </w:r>
      <w:r w:rsidR="00320909">
        <w:rPr>
          <w:rFonts w:cstheme="minorHAnsi"/>
          <w:szCs w:val="24"/>
        </w:rPr>
        <w:t>toll-free telephone technical support.</w:t>
      </w:r>
    </w:p>
    <w:p w:rsidR="00242019" w:rsidRPr="00242019" w:rsidRDefault="00557C5B" w:rsidP="00242019">
      <w:pPr>
        <w:pStyle w:val="TextL2"/>
        <w:numPr>
          <w:ilvl w:val="0"/>
          <w:numId w:val="34"/>
        </w:numPr>
        <w:spacing w:before="240"/>
        <w:jc w:val="both"/>
        <w:rPr>
          <w:rFonts w:cstheme="minorHAnsi"/>
          <w:szCs w:val="24"/>
        </w:rPr>
      </w:pPr>
      <w:r>
        <w:rPr>
          <w:rFonts w:cstheme="minorHAnsi"/>
          <w:szCs w:val="24"/>
        </w:rPr>
        <w:t>Bidder</w:t>
      </w:r>
      <w:r w:rsidR="00242019" w:rsidRPr="00242019">
        <w:rPr>
          <w:rFonts w:cstheme="minorHAnsi"/>
          <w:szCs w:val="24"/>
        </w:rPr>
        <w:t xml:space="preserve"> telephone and email technical support response time for tickets opened should be within 24 hours.</w:t>
      </w:r>
    </w:p>
    <w:p w:rsidR="00494D53" w:rsidRDefault="00EF7152" w:rsidP="00494D53">
      <w:pPr>
        <w:widowControl w:val="0"/>
        <w:numPr>
          <w:ilvl w:val="0"/>
          <w:numId w:val="12"/>
        </w:numPr>
        <w:autoSpaceDE w:val="0"/>
        <w:autoSpaceDN w:val="0"/>
        <w:adjustRightInd w:val="0"/>
        <w:spacing w:line="268" w:lineRule="auto"/>
        <w:ind w:left="360" w:hanging="360"/>
        <w:rPr>
          <w:rFonts w:eastAsia="Times New Roman"/>
          <w:b/>
          <w:bCs/>
          <w:szCs w:val="24"/>
        </w:rPr>
      </w:pPr>
      <w:r>
        <w:rPr>
          <w:rFonts w:eastAsia="Times New Roman"/>
          <w:b/>
          <w:bCs/>
          <w:szCs w:val="24"/>
        </w:rPr>
        <w:t>Training Requirements for Web-B</w:t>
      </w:r>
      <w:r w:rsidR="00494D53" w:rsidRPr="00494D53">
        <w:rPr>
          <w:rFonts w:eastAsia="Times New Roman"/>
          <w:b/>
          <w:bCs/>
          <w:szCs w:val="24"/>
        </w:rPr>
        <w:t>ased and Online System</w:t>
      </w:r>
    </w:p>
    <w:p w:rsidR="00242019" w:rsidRPr="00242019" w:rsidRDefault="00557C5B" w:rsidP="00242019">
      <w:pPr>
        <w:pStyle w:val="TextL2"/>
        <w:numPr>
          <w:ilvl w:val="0"/>
          <w:numId w:val="39"/>
        </w:numPr>
        <w:spacing w:before="240"/>
        <w:jc w:val="both"/>
        <w:rPr>
          <w:rFonts w:cstheme="minorHAnsi"/>
          <w:szCs w:val="24"/>
        </w:rPr>
      </w:pPr>
      <w:r>
        <w:rPr>
          <w:rFonts w:cstheme="minorHAnsi"/>
          <w:szCs w:val="24"/>
        </w:rPr>
        <w:t>Bidder</w:t>
      </w:r>
      <w:r w:rsidR="00242019" w:rsidRPr="00242019">
        <w:rPr>
          <w:rFonts w:cstheme="minorHAnsi"/>
          <w:szCs w:val="24"/>
        </w:rPr>
        <w:t xml:space="preserve"> must describe in detail what training is offered with their pro</w:t>
      </w:r>
      <w:bookmarkStart w:id="1" w:name="_GoBack"/>
      <w:bookmarkEnd w:id="1"/>
      <w:r w:rsidR="00242019" w:rsidRPr="00242019">
        <w:rPr>
          <w:rFonts w:cstheme="minorHAnsi"/>
          <w:szCs w:val="24"/>
        </w:rPr>
        <w:t xml:space="preserve">posed system. </w:t>
      </w:r>
    </w:p>
    <w:p w:rsidR="00242019" w:rsidRPr="00242019" w:rsidRDefault="00242019" w:rsidP="00242019">
      <w:pPr>
        <w:pStyle w:val="TextL2"/>
        <w:spacing w:before="240"/>
        <w:jc w:val="both"/>
        <w:rPr>
          <w:rFonts w:cstheme="minorHAnsi"/>
          <w:szCs w:val="24"/>
        </w:rPr>
      </w:pPr>
      <w:r w:rsidRPr="00242019">
        <w:rPr>
          <w:rFonts w:cstheme="minorHAnsi"/>
          <w:szCs w:val="24"/>
        </w:rPr>
        <w:t xml:space="preserve">MDOT may require optional training services for up to 10 System Administrators on </w:t>
      </w:r>
      <w:r w:rsidR="007207C4" w:rsidRPr="00242019">
        <w:rPr>
          <w:rFonts w:cstheme="minorHAnsi"/>
          <w:szCs w:val="24"/>
        </w:rPr>
        <w:t>an</w:t>
      </w:r>
      <w:r w:rsidRPr="00242019">
        <w:rPr>
          <w:rFonts w:cstheme="minorHAnsi"/>
          <w:szCs w:val="24"/>
        </w:rPr>
        <w:t xml:space="preserve"> as needed basis.        </w:t>
      </w:r>
    </w:p>
    <w:p w:rsidR="00AC7800" w:rsidRPr="001C447F" w:rsidRDefault="00242019" w:rsidP="001C447F">
      <w:pPr>
        <w:pStyle w:val="TextL2"/>
        <w:numPr>
          <w:ilvl w:val="0"/>
          <w:numId w:val="39"/>
        </w:numPr>
        <w:spacing w:before="240"/>
        <w:jc w:val="both"/>
        <w:rPr>
          <w:rFonts w:cstheme="minorHAnsi"/>
          <w:szCs w:val="24"/>
        </w:rPr>
      </w:pPr>
      <w:r w:rsidRPr="00242019">
        <w:rPr>
          <w:rFonts w:cstheme="minorHAnsi"/>
          <w:szCs w:val="24"/>
        </w:rPr>
        <w:t>MDOT may require optional training services for up to 10 of System Initiators on an as needed basis.</w:t>
      </w:r>
    </w:p>
    <w:p w:rsidR="002A492C" w:rsidRDefault="002A492C" w:rsidP="00324C4A">
      <w:pPr>
        <w:pStyle w:val="TextL2"/>
        <w:numPr>
          <w:ilvl w:val="0"/>
          <w:numId w:val="0"/>
        </w:numPr>
        <w:spacing w:before="240"/>
        <w:jc w:val="both"/>
        <w:rPr>
          <w:rFonts w:cstheme="minorHAnsi"/>
          <w:szCs w:val="24"/>
        </w:rPr>
        <w:sectPr w:rsidR="002A492C" w:rsidSect="00AA4BBE">
          <w:headerReference w:type="even" r:id="rId14"/>
          <w:headerReference w:type="default" r:id="rId15"/>
          <w:headerReference w:type="first" r:id="rId16"/>
          <w:type w:val="continuous"/>
          <w:pgSz w:w="12240" w:h="15840" w:code="1"/>
          <w:pgMar w:top="1440" w:right="1440" w:bottom="1440" w:left="1440" w:header="720" w:footer="720" w:gutter="0"/>
          <w:cols w:space="720"/>
          <w:docGrid w:linePitch="360"/>
        </w:sectPr>
      </w:pPr>
    </w:p>
    <w:p w:rsidR="00AC7800" w:rsidRPr="00241472" w:rsidRDefault="00241472" w:rsidP="00241472">
      <w:pPr>
        <w:pStyle w:val="TextL2"/>
        <w:numPr>
          <w:ilvl w:val="0"/>
          <w:numId w:val="0"/>
        </w:numPr>
        <w:spacing w:before="240"/>
        <w:jc w:val="both"/>
        <w:rPr>
          <w:rFonts w:cstheme="minorHAnsi"/>
          <w:szCs w:val="24"/>
        </w:rPr>
      </w:pPr>
      <w:r w:rsidRPr="00241472">
        <w:rPr>
          <w:rFonts w:cstheme="minorHAnsi"/>
          <w:szCs w:val="24"/>
        </w:rPr>
        <w:lastRenderedPageBreak/>
        <w:t>It is the responsibility of the Bidder to clearly identify all costs associated with any item or series of items in this IFB.  The Vendor must include and complete all parts of the cost proposal in a clear and accurate manner.  </w:t>
      </w:r>
      <w:r w:rsidRPr="00241472">
        <w:rPr>
          <w:rFonts w:cstheme="minorHAnsi"/>
          <w:b/>
          <w:szCs w:val="24"/>
        </w:rPr>
        <w:t xml:space="preserve">Omissions, errors, misrepresentations, or inadequate details in the </w:t>
      </w:r>
      <w:proofErr w:type="spellStart"/>
      <w:r w:rsidRPr="00241472">
        <w:rPr>
          <w:rFonts w:cstheme="minorHAnsi"/>
          <w:b/>
          <w:szCs w:val="24"/>
        </w:rPr>
        <w:t>Bidders’s</w:t>
      </w:r>
      <w:proofErr w:type="spellEnd"/>
      <w:r w:rsidRPr="00241472">
        <w:rPr>
          <w:rFonts w:cstheme="minorHAnsi"/>
          <w:b/>
          <w:szCs w:val="24"/>
        </w:rPr>
        <w:t xml:space="preserve"> cost proposal may be grounds for rejection of the bid.</w:t>
      </w:r>
      <w:r w:rsidRPr="00241472">
        <w:rPr>
          <w:rFonts w:cstheme="minorHAnsi"/>
          <w:szCs w:val="24"/>
        </w:rPr>
        <w:t>  </w:t>
      </w:r>
      <w:r w:rsidRPr="00241472">
        <w:rPr>
          <w:rFonts w:cstheme="minorHAnsi"/>
          <w:b/>
          <w:szCs w:val="24"/>
        </w:rPr>
        <w:t>Costs that are not clearly identified will be borne by the Bidder.</w:t>
      </w:r>
      <w:r w:rsidRPr="00241472">
        <w:rPr>
          <w:rFonts w:cstheme="minorHAnsi"/>
          <w:szCs w:val="24"/>
        </w:rPr>
        <w:t>  The Bidders must complete the table below, which outlines the minimum requirements for providing cost information.  The Bidder should supply supporting details as described.</w:t>
      </w:r>
    </w:p>
    <w:p w:rsidR="00592B72" w:rsidRDefault="00592B72" w:rsidP="00592B72">
      <w:pPr>
        <w:framePr w:hSpace="180" w:wrap="around" w:vAnchor="text" w:hAnchor="margin" w:xAlign="center" w:y="95"/>
        <w:spacing w:line="276" w:lineRule="auto"/>
        <w:rPr>
          <w:rFonts w:cstheme="minorHAnsi"/>
          <w:sz w:val="24"/>
          <w:szCs w:val="24"/>
        </w:rPr>
      </w:pPr>
    </w:p>
    <w:tbl>
      <w:tblPr>
        <w:tblpPr w:leftFromText="180" w:rightFromText="180" w:vertAnchor="text" w:horzAnchor="margin" w:tblpXSpec="center" w:tblpY="95"/>
        <w:tblW w:w="13020" w:type="dxa"/>
        <w:tblLayout w:type="fixed"/>
        <w:tblCellMar>
          <w:left w:w="120" w:type="dxa"/>
          <w:right w:w="120" w:type="dxa"/>
        </w:tblCellMar>
        <w:tblLook w:val="0000" w:firstRow="0" w:lastRow="0" w:firstColumn="0" w:lastColumn="0" w:noHBand="0" w:noVBand="0"/>
      </w:tblPr>
      <w:tblGrid>
        <w:gridCol w:w="1071"/>
        <w:gridCol w:w="5400"/>
        <w:gridCol w:w="900"/>
        <w:gridCol w:w="1080"/>
        <w:gridCol w:w="1260"/>
        <w:gridCol w:w="1080"/>
        <w:gridCol w:w="2229"/>
      </w:tblGrid>
      <w:tr w:rsidR="002A492C" w:rsidRPr="0031335D" w:rsidTr="0009365F">
        <w:trPr>
          <w:trHeight w:val="548"/>
          <w:tblHeader/>
        </w:trPr>
        <w:tc>
          <w:tcPr>
            <w:tcW w:w="1071"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center"/>
              <w:rPr>
                <w:b/>
                <w:bCs/>
              </w:rPr>
            </w:pPr>
            <w:r>
              <w:rPr>
                <w:b/>
                <w:bCs/>
              </w:rPr>
              <w:t>PART#</w:t>
            </w:r>
          </w:p>
        </w:tc>
        <w:tc>
          <w:tcPr>
            <w:tcW w:w="540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center"/>
              <w:rPr>
                <w:b/>
                <w:bCs/>
              </w:rPr>
            </w:pPr>
            <w:r w:rsidRPr="0031335D">
              <w:rPr>
                <w:b/>
                <w:bCs/>
              </w:rPr>
              <w:t>DESCRIPTION</w:t>
            </w:r>
          </w:p>
        </w:tc>
        <w:tc>
          <w:tcPr>
            <w:tcW w:w="90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center"/>
              <w:rPr>
                <w:b/>
                <w:bCs/>
              </w:rPr>
            </w:pPr>
            <w:r w:rsidRPr="0031335D">
              <w:rPr>
                <w:b/>
                <w:bCs/>
              </w:rPr>
              <w:t>QTY</w:t>
            </w: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center"/>
              <w:rPr>
                <w:b/>
                <w:bCs/>
              </w:rPr>
            </w:pPr>
            <w:r>
              <w:rPr>
                <w:b/>
                <w:bCs/>
              </w:rPr>
              <w:t>YEAR 1</w:t>
            </w:r>
          </w:p>
        </w:tc>
        <w:tc>
          <w:tcPr>
            <w:tcW w:w="126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center"/>
              <w:rPr>
                <w:b/>
                <w:bCs/>
              </w:rPr>
            </w:pPr>
            <w:r>
              <w:rPr>
                <w:b/>
                <w:bCs/>
              </w:rPr>
              <w:t>YEAR 2</w:t>
            </w: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center"/>
              <w:rPr>
                <w:b/>
                <w:bCs/>
              </w:rPr>
            </w:pPr>
            <w:r>
              <w:rPr>
                <w:b/>
                <w:bCs/>
              </w:rPr>
              <w:t>YEAR 3</w:t>
            </w:r>
          </w:p>
        </w:tc>
        <w:tc>
          <w:tcPr>
            <w:tcW w:w="2229"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center"/>
              <w:rPr>
                <w:b/>
                <w:bCs/>
              </w:rPr>
            </w:pPr>
            <w:r>
              <w:rPr>
                <w:b/>
                <w:bCs/>
              </w:rPr>
              <w:t>EXTENDED COST</w:t>
            </w:r>
          </w:p>
        </w:tc>
      </w:tr>
      <w:tr w:rsidR="002A492C" w:rsidRPr="0031335D" w:rsidTr="00493DEE">
        <w:trPr>
          <w:trHeight w:val="267"/>
        </w:trPr>
        <w:tc>
          <w:tcPr>
            <w:tcW w:w="13020" w:type="dxa"/>
            <w:gridSpan w:val="7"/>
            <w:tcBorders>
              <w:top w:val="single" w:sz="7" w:space="0" w:color="000000"/>
              <w:left w:val="single" w:sz="7" w:space="0" w:color="000000"/>
              <w:bottom w:val="single" w:sz="7" w:space="0" w:color="000000"/>
              <w:right w:val="single" w:sz="7" w:space="0" w:color="000000"/>
            </w:tcBorders>
          </w:tcPr>
          <w:p w:rsidR="002A492C" w:rsidRPr="0031335D" w:rsidRDefault="002A492C" w:rsidP="002A492C">
            <w:r>
              <w:t>Mass Notification Services</w:t>
            </w:r>
          </w:p>
        </w:tc>
      </w:tr>
      <w:tr w:rsidR="002A492C" w:rsidRPr="0031335D" w:rsidTr="0009365F">
        <w:trPr>
          <w:trHeight w:val="534"/>
        </w:trPr>
        <w:tc>
          <w:tcPr>
            <w:tcW w:w="1071"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tc>
        <w:tc>
          <w:tcPr>
            <w:tcW w:w="54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2A492C">
            <w:r>
              <w:t xml:space="preserve">Mass Notification System  </w:t>
            </w:r>
          </w:p>
          <w:p w:rsidR="003B5CC1" w:rsidRDefault="003B5CC1" w:rsidP="002A492C">
            <w:r>
              <w:t>Name:_______________________</w:t>
            </w:r>
          </w:p>
        </w:tc>
        <w:tc>
          <w:tcPr>
            <w:tcW w:w="9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493DEE">
            <w:pPr>
              <w:jc w:val="center"/>
            </w:pP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26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080"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c>
          <w:tcPr>
            <w:tcW w:w="2229"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r>
      <w:tr w:rsidR="002A492C" w:rsidRPr="0031335D" w:rsidTr="0009365F">
        <w:trPr>
          <w:trHeight w:val="534"/>
        </w:trPr>
        <w:tc>
          <w:tcPr>
            <w:tcW w:w="1071"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tc>
        <w:tc>
          <w:tcPr>
            <w:tcW w:w="54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2A492C">
            <w:r>
              <w:t>Implementation fees (If Applicable)</w:t>
            </w:r>
          </w:p>
        </w:tc>
        <w:tc>
          <w:tcPr>
            <w:tcW w:w="9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493DEE">
            <w:pPr>
              <w:jc w:val="center"/>
            </w:pP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26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080"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c>
          <w:tcPr>
            <w:tcW w:w="2229"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r>
      <w:tr w:rsidR="002A492C" w:rsidRPr="0031335D" w:rsidTr="0009365F">
        <w:trPr>
          <w:trHeight w:val="534"/>
        </w:trPr>
        <w:tc>
          <w:tcPr>
            <w:tcW w:w="1071"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tc>
        <w:tc>
          <w:tcPr>
            <w:tcW w:w="5400" w:type="dxa"/>
            <w:tcBorders>
              <w:top w:val="single" w:sz="7" w:space="0" w:color="000000"/>
              <w:left w:val="single" w:sz="7" w:space="0" w:color="000000"/>
              <w:bottom w:val="single" w:sz="7" w:space="0" w:color="000000"/>
              <w:right w:val="single" w:sz="7" w:space="0" w:color="000000"/>
            </w:tcBorders>
            <w:vAlign w:val="center"/>
          </w:tcPr>
          <w:p w:rsidR="002A492C" w:rsidRDefault="00193CFE" w:rsidP="00493DEE">
            <w:r>
              <w:t>On-</w:t>
            </w:r>
            <w:r w:rsidR="002A492C">
              <w:t>Site Training (If Applicable)</w:t>
            </w:r>
          </w:p>
        </w:tc>
        <w:tc>
          <w:tcPr>
            <w:tcW w:w="9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493DEE">
            <w:pPr>
              <w:jc w:val="center"/>
            </w:pP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26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080"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c>
          <w:tcPr>
            <w:tcW w:w="2229"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r>
      <w:tr w:rsidR="002A492C" w:rsidRPr="0031335D" w:rsidTr="0009365F">
        <w:trPr>
          <w:trHeight w:val="534"/>
        </w:trPr>
        <w:tc>
          <w:tcPr>
            <w:tcW w:w="1071"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tc>
        <w:tc>
          <w:tcPr>
            <w:tcW w:w="54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493DEE">
            <w:r>
              <w:t>Web Based Training (If Applicable)</w:t>
            </w:r>
          </w:p>
        </w:tc>
        <w:tc>
          <w:tcPr>
            <w:tcW w:w="9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493DEE">
            <w:pPr>
              <w:jc w:val="center"/>
            </w:pP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26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080"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c>
          <w:tcPr>
            <w:tcW w:w="2229"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r>
      <w:tr w:rsidR="002A492C" w:rsidRPr="0031335D" w:rsidTr="0009365F">
        <w:trPr>
          <w:trHeight w:val="534"/>
        </w:trPr>
        <w:tc>
          <w:tcPr>
            <w:tcW w:w="1071"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tc>
        <w:tc>
          <w:tcPr>
            <w:tcW w:w="54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2A492C">
            <w:r>
              <w:t xml:space="preserve">Support (If Applicable) </w:t>
            </w:r>
          </w:p>
        </w:tc>
        <w:tc>
          <w:tcPr>
            <w:tcW w:w="9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493DEE">
            <w:pPr>
              <w:jc w:val="center"/>
            </w:pP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26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080"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c>
          <w:tcPr>
            <w:tcW w:w="2229"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r>
      <w:tr w:rsidR="002A492C" w:rsidRPr="0031335D" w:rsidTr="0009365F">
        <w:trPr>
          <w:trHeight w:val="534"/>
        </w:trPr>
        <w:tc>
          <w:tcPr>
            <w:tcW w:w="1071"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tc>
        <w:tc>
          <w:tcPr>
            <w:tcW w:w="5400" w:type="dxa"/>
            <w:tcBorders>
              <w:top w:val="single" w:sz="7" w:space="0" w:color="000000"/>
              <w:left w:val="single" w:sz="7" w:space="0" w:color="000000"/>
              <w:bottom w:val="single" w:sz="7" w:space="0" w:color="000000"/>
              <w:right w:val="single" w:sz="7" w:space="0" w:color="000000"/>
            </w:tcBorders>
            <w:vAlign w:val="center"/>
          </w:tcPr>
          <w:p w:rsidR="002A492C" w:rsidRDefault="00193CFE" w:rsidP="002A492C">
            <w:r>
              <w:t>Any additional services ( please add rows)</w:t>
            </w:r>
          </w:p>
        </w:tc>
        <w:tc>
          <w:tcPr>
            <w:tcW w:w="900" w:type="dxa"/>
            <w:tcBorders>
              <w:top w:val="single" w:sz="7" w:space="0" w:color="000000"/>
              <w:left w:val="single" w:sz="7" w:space="0" w:color="000000"/>
              <w:bottom w:val="single" w:sz="7" w:space="0" w:color="000000"/>
              <w:right w:val="single" w:sz="7" w:space="0" w:color="000000"/>
            </w:tcBorders>
            <w:vAlign w:val="center"/>
          </w:tcPr>
          <w:p w:rsidR="002A492C" w:rsidRDefault="002A492C" w:rsidP="00493DEE">
            <w:pPr>
              <w:jc w:val="center"/>
            </w:pPr>
          </w:p>
        </w:tc>
        <w:tc>
          <w:tcPr>
            <w:tcW w:w="108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260" w:type="dxa"/>
            <w:tcBorders>
              <w:top w:val="single" w:sz="7" w:space="0" w:color="000000"/>
              <w:left w:val="single" w:sz="7" w:space="0" w:color="000000"/>
              <w:bottom w:val="single" w:sz="7" w:space="0" w:color="000000"/>
              <w:right w:val="single" w:sz="7" w:space="0" w:color="000000"/>
            </w:tcBorders>
          </w:tcPr>
          <w:p w:rsidR="002A492C" w:rsidRPr="0031335D" w:rsidRDefault="002A492C" w:rsidP="00493DEE">
            <w:pPr>
              <w:jc w:val="right"/>
            </w:pPr>
          </w:p>
        </w:tc>
        <w:tc>
          <w:tcPr>
            <w:tcW w:w="1080"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c>
          <w:tcPr>
            <w:tcW w:w="2229" w:type="dxa"/>
            <w:tcBorders>
              <w:top w:val="single" w:sz="7" w:space="0" w:color="000000"/>
              <w:left w:val="single" w:sz="7" w:space="0" w:color="000000"/>
              <w:bottom w:val="single" w:sz="7" w:space="0" w:color="000000"/>
              <w:right w:val="single" w:sz="7" w:space="0" w:color="000000"/>
            </w:tcBorders>
            <w:vAlign w:val="center"/>
          </w:tcPr>
          <w:p w:rsidR="002A492C" w:rsidRPr="0031335D" w:rsidRDefault="002A492C" w:rsidP="00493DEE">
            <w:pPr>
              <w:jc w:val="right"/>
            </w:pPr>
          </w:p>
        </w:tc>
      </w:tr>
      <w:tr w:rsidR="0009365F" w:rsidRPr="0031335D" w:rsidTr="00493DEE">
        <w:trPr>
          <w:trHeight w:val="267"/>
        </w:trPr>
        <w:tc>
          <w:tcPr>
            <w:tcW w:w="10791" w:type="dxa"/>
            <w:gridSpan w:val="6"/>
            <w:tcBorders>
              <w:top w:val="single" w:sz="7" w:space="0" w:color="000000"/>
              <w:left w:val="single" w:sz="7" w:space="0" w:color="000000"/>
              <w:bottom w:val="single" w:sz="7" w:space="0" w:color="000000"/>
              <w:right w:val="single" w:sz="7" w:space="0" w:color="000000"/>
            </w:tcBorders>
          </w:tcPr>
          <w:p w:rsidR="0009365F" w:rsidRPr="00C25B98" w:rsidRDefault="0009365F" w:rsidP="00493DEE">
            <w:pPr>
              <w:jc w:val="right"/>
              <w:rPr>
                <w:b/>
              </w:rPr>
            </w:pPr>
            <w:r>
              <w:rPr>
                <w:b/>
              </w:rPr>
              <w:t>3-Year Grand Total</w:t>
            </w:r>
            <w:r w:rsidRPr="00C25B98">
              <w:rPr>
                <w:b/>
              </w:rPr>
              <w:t>:</w:t>
            </w:r>
          </w:p>
        </w:tc>
        <w:tc>
          <w:tcPr>
            <w:tcW w:w="2229" w:type="dxa"/>
            <w:tcBorders>
              <w:top w:val="single" w:sz="7" w:space="0" w:color="000000"/>
              <w:left w:val="single" w:sz="7" w:space="0" w:color="000000"/>
              <w:bottom w:val="single" w:sz="7" w:space="0" w:color="000000"/>
              <w:right w:val="single" w:sz="7" w:space="0" w:color="000000"/>
            </w:tcBorders>
            <w:vAlign w:val="center"/>
          </w:tcPr>
          <w:p w:rsidR="0009365F" w:rsidRPr="0031335D" w:rsidRDefault="0009365F" w:rsidP="00493DEE">
            <w:pPr>
              <w:jc w:val="right"/>
            </w:pPr>
          </w:p>
        </w:tc>
      </w:tr>
    </w:tbl>
    <w:p w:rsidR="00302E7D" w:rsidRDefault="00302E7D" w:rsidP="00592B72">
      <w:pPr>
        <w:spacing w:line="276" w:lineRule="auto"/>
        <w:rPr>
          <w:rFonts w:cstheme="minorHAnsi"/>
          <w:sz w:val="24"/>
          <w:szCs w:val="24"/>
        </w:rPr>
      </w:pPr>
    </w:p>
    <w:p w:rsidR="00FC6949" w:rsidRDefault="003B5CC1" w:rsidP="00592B72">
      <w:pPr>
        <w:spacing w:line="276" w:lineRule="auto"/>
        <w:rPr>
          <w:rFonts w:cstheme="minorHAnsi"/>
          <w:sz w:val="24"/>
          <w:szCs w:val="24"/>
        </w:rPr>
      </w:pPr>
      <w:r>
        <w:rPr>
          <w:rFonts w:cstheme="minorHAnsi"/>
          <w:sz w:val="24"/>
          <w:szCs w:val="24"/>
        </w:rPr>
        <w:t xml:space="preserve">Fully Loaded </w:t>
      </w:r>
      <w:r w:rsidR="00621560">
        <w:rPr>
          <w:rFonts w:cstheme="minorHAnsi"/>
          <w:sz w:val="24"/>
          <w:szCs w:val="24"/>
        </w:rPr>
        <w:t>Change Order Rate (Onsite</w:t>
      </w:r>
      <w:r>
        <w:rPr>
          <w:rFonts w:cstheme="minorHAnsi"/>
          <w:sz w:val="24"/>
          <w:szCs w:val="24"/>
        </w:rPr>
        <w:t>):_________________________</w:t>
      </w:r>
    </w:p>
    <w:p w:rsidR="00621560" w:rsidRPr="00592B72" w:rsidRDefault="00621560" w:rsidP="00621560">
      <w:pPr>
        <w:spacing w:line="276" w:lineRule="auto"/>
        <w:rPr>
          <w:rFonts w:cstheme="minorHAnsi"/>
          <w:sz w:val="24"/>
          <w:szCs w:val="24"/>
        </w:rPr>
      </w:pPr>
      <w:r>
        <w:rPr>
          <w:rFonts w:cstheme="minorHAnsi"/>
          <w:sz w:val="24"/>
          <w:szCs w:val="24"/>
        </w:rPr>
        <w:t>Fully Loaded Change Order Rate (Remote):_________________________</w:t>
      </w:r>
    </w:p>
    <w:p w:rsidR="00621560" w:rsidRPr="00592B72" w:rsidRDefault="00621560" w:rsidP="00592B72">
      <w:pPr>
        <w:spacing w:line="276" w:lineRule="auto"/>
        <w:rPr>
          <w:rFonts w:cstheme="minorHAnsi"/>
          <w:sz w:val="24"/>
          <w:szCs w:val="24"/>
        </w:rPr>
      </w:pPr>
    </w:p>
    <w:p w:rsidR="00647A02" w:rsidRDefault="00647A02" w:rsidP="00EA32AD">
      <w:pPr>
        <w:rPr>
          <w:rStyle w:val="SubtleReference"/>
        </w:rPr>
      </w:pPr>
    </w:p>
    <w:p w:rsidR="00C54B5D" w:rsidRDefault="00C54B5D" w:rsidP="00EA32AD">
      <w:pPr>
        <w:rPr>
          <w:rStyle w:val="SubtleReference"/>
        </w:rPr>
      </w:pPr>
    </w:p>
    <w:p w:rsidR="00C54B5D" w:rsidRDefault="00C54B5D" w:rsidP="00EA32AD">
      <w:pPr>
        <w:rPr>
          <w:rStyle w:val="SubtleReference"/>
        </w:rPr>
      </w:pPr>
    </w:p>
    <w:p w:rsidR="00C54B5D" w:rsidRDefault="00C54B5D" w:rsidP="00EA32AD">
      <w:pPr>
        <w:rPr>
          <w:rStyle w:val="SubtleReference"/>
        </w:rPr>
      </w:pPr>
    </w:p>
    <w:p w:rsidR="00C54B5D" w:rsidRDefault="00C54B5D" w:rsidP="00EA32AD">
      <w:pPr>
        <w:rPr>
          <w:rStyle w:val="SubtleReference"/>
        </w:rPr>
      </w:pPr>
    </w:p>
    <w:p w:rsidR="00C54B5D" w:rsidRDefault="00C54B5D" w:rsidP="00EA32AD">
      <w:pPr>
        <w:rPr>
          <w:rStyle w:val="SubtleReference"/>
        </w:rPr>
      </w:pPr>
    </w:p>
    <w:p w:rsidR="00FE0C41" w:rsidRPr="003B666C" w:rsidRDefault="00FE0C41" w:rsidP="00EA32AD">
      <w:pPr>
        <w:rPr>
          <w:rStyle w:val="SubtleReference"/>
        </w:rPr>
      </w:pPr>
    </w:p>
    <w:p w:rsidR="00EA32AD" w:rsidRPr="00F54D3A" w:rsidRDefault="004A0951" w:rsidP="00EA32AD">
      <w:pPr>
        <w:rPr>
          <w:rStyle w:val="SubtleReference"/>
          <w:b/>
          <w:smallCaps w:val="0"/>
          <w:color w:val="auto"/>
        </w:rPr>
      </w:pPr>
      <w:r w:rsidRPr="00F54D3A">
        <w:rPr>
          <w:rStyle w:val="SubtleReference"/>
          <w:b/>
          <w:smallCaps w:val="0"/>
          <w:color w:val="auto"/>
        </w:rPr>
        <w:lastRenderedPageBreak/>
        <w:t xml:space="preserve">BIDDER </w:t>
      </w:r>
      <w:r w:rsidR="00EA32AD" w:rsidRPr="00F54D3A">
        <w:rPr>
          <w:rStyle w:val="SubtleReference"/>
          <w:b/>
          <w:smallCaps w:val="0"/>
          <w:color w:val="auto"/>
        </w:rPr>
        <w:t xml:space="preserve">CERTIFICATION </w:t>
      </w:r>
    </w:p>
    <w:p w:rsidR="004A0951" w:rsidRPr="00EA32AD" w:rsidRDefault="004A0951" w:rsidP="00241472">
      <w:pPr>
        <w:jc w:val="both"/>
        <w:rPr>
          <w:rStyle w:val="SubtleReference"/>
        </w:rPr>
      </w:pPr>
    </w:p>
    <w:tbl>
      <w:tblPr>
        <w:tblStyle w:val="TableGrid"/>
        <w:tblW w:w="9875"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90"/>
        <w:gridCol w:w="6185"/>
      </w:tblGrid>
      <w:tr w:rsidR="00C1118A" w:rsidRPr="00730088" w:rsidTr="006468B5">
        <w:trPr>
          <w:trHeight w:val="774"/>
        </w:trPr>
        <w:tc>
          <w:tcPr>
            <w:tcW w:w="9875" w:type="dxa"/>
            <w:gridSpan w:val="2"/>
            <w:tcBorders>
              <w:top w:val="nil"/>
              <w:bottom w:val="nil"/>
            </w:tcBorders>
            <w:vAlign w:val="bottom"/>
          </w:tcPr>
          <w:p w:rsidR="00C1118A" w:rsidRPr="00AB1AE8" w:rsidRDefault="00241472" w:rsidP="00241472">
            <w:pPr>
              <w:jc w:val="both"/>
              <w:rPr>
                <w:highlight w:val="yellow"/>
              </w:rPr>
            </w:pPr>
            <w:r w:rsidRPr="00241472">
              <w:t>By signing below, the Vendor is contractually obligated to comply with all items in this IFB, including the Standard Contract in Attachment E, if included herein, except those specifically listed as exceptions on the Exception Summary Form.  If no Exception Summary Form is included, the Vendor is indicating that he takes no exceptions.  Vendors who respond to this IFB by signing below may not later take exception to any item in the IFB during contract negotiations.  This acknowledgement also contractually obligates any and all subcontractors that may be proposed.  No exceptions by subcontractors or separate terms and conditions will be entertained after the fact.</w:t>
            </w:r>
          </w:p>
        </w:tc>
      </w:tr>
      <w:tr w:rsidR="00860AA4" w:rsidRPr="00730088" w:rsidTr="00860AA4">
        <w:trPr>
          <w:trHeight w:val="900"/>
        </w:trPr>
        <w:tc>
          <w:tcPr>
            <w:tcW w:w="9875" w:type="dxa"/>
            <w:gridSpan w:val="2"/>
            <w:tcBorders>
              <w:top w:val="nil"/>
              <w:bottom w:val="nil"/>
            </w:tcBorders>
            <w:vAlign w:val="bottom"/>
          </w:tcPr>
          <w:p w:rsidR="00860AA4" w:rsidRPr="00AB1AE8" w:rsidRDefault="00860AA4" w:rsidP="0009365F">
            <w:pPr>
              <w:rPr>
                <w:highlight w:val="yellow"/>
              </w:rPr>
            </w:pPr>
            <w:r w:rsidRPr="00AB1AE8">
              <w:rPr>
                <w:i/>
                <w:highlight w:val="yellow"/>
              </w:rPr>
              <w:t xml:space="preserve">We hereby propose to furnish the products and services described </w:t>
            </w:r>
            <w:r w:rsidR="007D7D48" w:rsidRPr="00AB1AE8">
              <w:rPr>
                <w:i/>
                <w:highlight w:val="yellow"/>
              </w:rPr>
              <w:t>in IFB</w:t>
            </w:r>
            <w:r w:rsidR="003B5CC1" w:rsidRPr="00AB1AE8">
              <w:rPr>
                <w:i/>
                <w:highlight w:val="yellow"/>
              </w:rPr>
              <w:t>#</w:t>
            </w:r>
            <w:r w:rsidR="007D7D48" w:rsidRPr="00AB1AE8">
              <w:rPr>
                <w:i/>
                <w:highlight w:val="yellow"/>
              </w:rPr>
              <w:t xml:space="preserve"> </w:t>
            </w:r>
            <w:r w:rsidR="0009365F" w:rsidRPr="00AB1AE8">
              <w:rPr>
                <w:i/>
                <w:highlight w:val="yellow"/>
              </w:rPr>
              <w:t>4134</w:t>
            </w:r>
            <w:r w:rsidR="007D7D48" w:rsidRPr="00AB1AE8">
              <w:rPr>
                <w:i/>
                <w:highlight w:val="yellow"/>
              </w:rPr>
              <w:t xml:space="preserve"> </w:t>
            </w:r>
            <w:r w:rsidR="00725764" w:rsidRPr="00AB1AE8">
              <w:rPr>
                <w:i/>
                <w:highlight w:val="yellow"/>
              </w:rPr>
              <w:t xml:space="preserve">as </w:t>
            </w:r>
            <w:r w:rsidR="007D7D48" w:rsidRPr="00AB1AE8">
              <w:rPr>
                <w:i/>
                <w:highlight w:val="yellow"/>
              </w:rPr>
              <w:t xml:space="preserve">offered </w:t>
            </w:r>
            <w:r w:rsidRPr="00AB1AE8">
              <w:rPr>
                <w:i/>
                <w:highlight w:val="yellow"/>
              </w:rPr>
              <w:t xml:space="preserve">in </w:t>
            </w:r>
            <w:r w:rsidR="007D7D48" w:rsidRPr="00AB1AE8">
              <w:rPr>
                <w:i/>
                <w:highlight w:val="yellow"/>
              </w:rPr>
              <w:t>our bid response</w:t>
            </w:r>
            <w:r w:rsidR="00183B19" w:rsidRPr="00AB1AE8">
              <w:rPr>
                <w:i/>
                <w:highlight w:val="yellow"/>
              </w:rPr>
              <w:t>.</w:t>
            </w:r>
          </w:p>
        </w:tc>
      </w:tr>
      <w:tr w:rsidR="00D8163A" w:rsidRPr="00730088" w:rsidTr="00D8163A">
        <w:trPr>
          <w:trHeight w:val="530"/>
        </w:trPr>
        <w:tc>
          <w:tcPr>
            <w:tcW w:w="3690" w:type="dxa"/>
            <w:tcBorders>
              <w:top w:val="nil"/>
              <w:bottom w:val="nil"/>
              <w:right w:val="nil"/>
            </w:tcBorders>
            <w:vAlign w:val="bottom"/>
          </w:tcPr>
          <w:p w:rsidR="00D8163A" w:rsidRPr="00D8163A" w:rsidRDefault="00D8163A" w:rsidP="007D476B">
            <w:pPr>
              <w:ind w:left="720"/>
              <w:jc w:val="right"/>
              <w:rPr>
                <w:b/>
              </w:rPr>
            </w:pPr>
            <w:r w:rsidRPr="00D8163A">
              <w:rPr>
                <w:b/>
              </w:rPr>
              <w:t>Company Name</w:t>
            </w:r>
            <w:r w:rsidR="007D476B">
              <w:rPr>
                <w:b/>
              </w:rPr>
              <w:t>:</w:t>
            </w:r>
          </w:p>
        </w:tc>
        <w:tc>
          <w:tcPr>
            <w:tcW w:w="6185" w:type="dxa"/>
            <w:tcBorders>
              <w:top w:val="nil"/>
              <w:left w:val="nil"/>
              <w:bottom w:val="single" w:sz="4" w:space="0" w:color="auto"/>
            </w:tcBorders>
            <w:vAlign w:val="bottom"/>
          </w:tcPr>
          <w:p w:rsidR="00D8163A" w:rsidRPr="008410CF" w:rsidRDefault="00D8163A" w:rsidP="00493DEE">
            <w:pPr>
              <w:spacing w:after="120"/>
            </w:pPr>
          </w:p>
        </w:tc>
      </w:tr>
      <w:tr w:rsidR="00D8163A" w:rsidRPr="00730088" w:rsidTr="007D476B">
        <w:trPr>
          <w:trHeight w:val="530"/>
        </w:trPr>
        <w:tc>
          <w:tcPr>
            <w:tcW w:w="3690" w:type="dxa"/>
            <w:tcBorders>
              <w:top w:val="nil"/>
              <w:bottom w:val="nil"/>
              <w:right w:val="nil"/>
            </w:tcBorders>
            <w:vAlign w:val="bottom"/>
          </w:tcPr>
          <w:p w:rsidR="00D8163A" w:rsidRPr="00D8163A" w:rsidRDefault="00AB1AE8" w:rsidP="007D476B">
            <w:pPr>
              <w:ind w:left="720"/>
              <w:jc w:val="right"/>
              <w:rPr>
                <w:b/>
              </w:rPr>
            </w:pPr>
            <w:r>
              <w:rPr>
                <w:b/>
              </w:rPr>
              <w:t>Original Signature of Officer in Bind of Company</w:t>
            </w:r>
            <w:r w:rsidR="007D476B">
              <w:rPr>
                <w:b/>
              </w:rPr>
              <w:t>:</w:t>
            </w:r>
          </w:p>
        </w:tc>
        <w:tc>
          <w:tcPr>
            <w:tcW w:w="6185" w:type="dxa"/>
            <w:tcBorders>
              <w:top w:val="single" w:sz="4" w:space="0" w:color="auto"/>
              <w:left w:val="nil"/>
              <w:bottom w:val="single" w:sz="4" w:space="0" w:color="auto"/>
            </w:tcBorders>
            <w:vAlign w:val="bottom"/>
          </w:tcPr>
          <w:p w:rsidR="00D8163A" w:rsidRPr="008410CF" w:rsidRDefault="00D8163A" w:rsidP="00493DEE">
            <w:pPr>
              <w:spacing w:after="120"/>
            </w:pPr>
          </w:p>
        </w:tc>
      </w:tr>
      <w:tr w:rsidR="007D476B" w:rsidRPr="00730088" w:rsidTr="007D476B">
        <w:trPr>
          <w:trHeight w:val="530"/>
        </w:trPr>
        <w:tc>
          <w:tcPr>
            <w:tcW w:w="3690" w:type="dxa"/>
            <w:tcBorders>
              <w:top w:val="nil"/>
              <w:bottom w:val="nil"/>
              <w:right w:val="nil"/>
            </w:tcBorders>
            <w:vAlign w:val="bottom"/>
          </w:tcPr>
          <w:p w:rsidR="007D476B" w:rsidRPr="00D8163A" w:rsidRDefault="007D476B" w:rsidP="007D476B">
            <w:pPr>
              <w:ind w:left="720"/>
              <w:jc w:val="right"/>
              <w:rPr>
                <w:b/>
              </w:rPr>
            </w:pPr>
            <w:r>
              <w:rPr>
                <w:b/>
              </w:rPr>
              <w:t>Name:</w:t>
            </w:r>
          </w:p>
        </w:tc>
        <w:tc>
          <w:tcPr>
            <w:tcW w:w="6185" w:type="dxa"/>
            <w:tcBorders>
              <w:top w:val="single" w:sz="4" w:space="0" w:color="auto"/>
              <w:left w:val="nil"/>
              <w:bottom w:val="single" w:sz="4" w:space="0" w:color="auto"/>
            </w:tcBorders>
            <w:vAlign w:val="bottom"/>
          </w:tcPr>
          <w:p w:rsidR="007D476B" w:rsidRPr="008410CF" w:rsidRDefault="007D476B" w:rsidP="00493DEE">
            <w:pPr>
              <w:spacing w:after="120"/>
            </w:pPr>
          </w:p>
        </w:tc>
      </w:tr>
      <w:tr w:rsidR="007D476B" w:rsidRPr="00730088" w:rsidTr="007D476B">
        <w:trPr>
          <w:trHeight w:val="530"/>
        </w:trPr>
        <w:tc>
          <w:tcPr>
            <w:tcW w:w="3690" w:type="dxa"/>
            <w:tcBorders>
              <w:top w:val="nil"/>
              <w:bottom w:val="nil"/>
              <w:right w:val="nil"/>
            </w:tcBorders>
            <w:vAlign w:val="bottom"/>
          </w:tcPr>
          <w:p w:rsidR="007D476B" w:rsidRDefault="007D476B" w:rsidP="007D476B">
            <w:pPr>
              <w:ind w:left="720"/>
              <w:jc w:val="right"/>
              <w:rPr>
                <w:b/>
              </w:rPr>
            </w:pPr>
            <w:r>
              <w:rPr>
                <w:b/>
              </w:rPr>
              <w:t>Title:</w:t>
            </w:r>
          </w:p>
        </w:tc>
        <w:tc>
          <w:tcPr>
            <w:tcW w:w="6185" w:type="dxa"/>
            <w:tcBorders>
              <w:top w:val="single" w:sz="4" w:space="0" w:color="auto"/>
              <w:left w:val="nil"/>
              <w:bottom w:val="single" w:sz="4" w:space="0" w:color="auto"/>
            </w:tcBorders>
            <w:vAlign w:val="bottom"/>
          </w:tcPr>
          <w:p w:rsidR="007D476B" w:rsidRPr="008410CF" w:rsidRDefault="007D476B" w:rsidP="00493DEE">
            <w:pPr>
              <w:spacing w:after="120"/>
            </w:pPr>
          </w:p>
        </w:tc>
      </w:tr>
      <w:tr w:rsidR="007D476B" w:rsidRPr="00730088" w:rsidTr="00D8163A">
        <w:trPr>
          <w:trHeight w:val="530"/>
        </w:trPr>
        <w:tc>
          <w:tcPr>
            <w:tcW w:w="3690" w:type="dxa"/>
            <w:tcBorders>
              <w:top w:val="nil"/>
              <w:right w:val="nil"/>
            </w:tcBorders>
            <w:vAlign w:val="bottom"/>
          </w:tcPr>
          <w:p w:rsidR="007D476B" w:rsidRDefault="007D476B" w:rsidP="007D476B">
            <w:pPr>
              <w:ind w:left="720"/>
              <w:jc w:val="right"/>
              <w:rPr>
                <w:b/>
              </w:rPr>
            </w:pPr>
            <w:r>
              <w:rPr>
                <w:b/>
              </w:rPr>
              <w:t>Date:</w:t>
            </w:r>
          </w:p>
        </w:tc>
        <w:tc>
          <w:tcPr>
            <w:tcW w:w="6185" w:type="dxa"/>
            <w:tcBorders>
              <w:top w:val="single" w:sz="4" w:space="0" w:color="auto"/>
              <w:left w:val="nil"/>
              <w:bottom w:val="single" w:sz="4" w:space="0" w:color="auto"/>
            </w:tcBorders>
            <w:vAlign w:val="bottom"/>
          </w:tcPr>
          <w:p w:rsidR="007D476B" w:rsidRPr="008410CF" w:rsidRDefault="007D476B" w:rsidP="00493DEE">
            <w:pPr>
              <w:spacing w:after="120"/>
            </w:pPr>
          </w:p>
        </w:tc>
      </w:tr>
    </w:tbl>
    <w:p w:rsidR="00C1118A" w:rsidRPr="00EF69C0" w:rsidRDefault="00C1118A" w:rsidP="0072780B">
      <w:pPr>
        <w:rPr>
          <w:rStyle w:val="SubtleReference"/>
        </w:rPr>
      </w:pPr>
    </w:p>
    <w:p w:rsidR="005E1552" w:rsidRDefault="005E1552" w:rsidP="0072780B">
      <w:pPr>
        <w:rPr>
          <w:rStyle w:val="SubtleReference"/>
        </w:rPr>
        <w:sectPr w:rsidR="005E1552" w:rsidSect="002A492C">
          <w:pgSz w:w="15840" w:h="12240" w:orient="landscape" w:code="1"/>
          <w:pgMar w:top="1440" w:right="1440" w:bottom="1440" w:left="1440" w:header="720" w:footer="720" w:gutter="0"/>
          <w:cols w:space="720"/>
          <w:docGrid w:linePitch="360"/>
        </w:sectPr>
      </w:pPr>
    </w:p>
    <w:p w:rsidR="002A492C" w:rsidRDefault="002A492C" w:rsidP="00613F84">
      <w:pPr>
        <w:rPr>
          <w:rStyle w:val="SubtleReference"/>
        </w:rPr>
        <w:sectPr w:rsidR="002A492C" w:rsidSect="005E16A0">
          <w:headerReference w:type="default" r:id="rId17"/>
          <w:pgSz w:w="12240" w:h="15840" w:code="1"/>
          <w:pgMar w:top="1440" w:right="1440" w:bottom="1440" w:left="1440" w:header="720" w:footer="720" w:gutter="0"/>
          <w:cols w:space="720"/>
          <w:docGrid w:linePitch="360"/>
        </w:sectPr>
      </w:pPr>
    </w:p>
    <w:p w:rsidR="007A22EF" w:rsidRDefault="007A22EF" w:rsidP="00613F84">
      <w:pPr>
        <w:rPr>
          <w:rStyle w:val="SubtleReference"/>
        </w:rPr>
      </w:pPr>
    </w:p>
    <w:p w:rsidR="007A22EF" w:rsidRDefault="007A22EF" w:rsidP="00613F84">
      <w:pPr>
        <w:rPr>
          <w:rStyle w:val="SubtleReference"/>
        </w:rPr>
      </w:pPr>
    </w:p>
    <w:p w:rsidR="00D95A67" w:rsidRPr="00BF43FC" w:rsidRDefault="00D95A67" w:rsidP="00D95A67">
      <w:pPr>
        <w:rPr>
          <w:rStyle w:val="SubtleReference"/>
          <w:smallCaps w:val="0"/>
          <w:color w:val="auto"/>
        </w:rPr>
      </w:pPr>
      <w:r w:rsidRPr="00BF43FC">
        <w:rPr>
          <w:rStyle w:val="SubtleReference"/>
          <w:smallCaps w:val="0"/>
          <w:color w:val="auto"/>
        </w:rPr>
        <w:t>Complete three (3) Reference Forms</w:t>
      </w:r>
    </w:p>
    <w:p w:rsidR="00D95A67" w:rsidRPr="00BF43FC" w:rsidRDefault="00D95A67" w:rsidP="00D95A67">
      <w:pPr>
        <w:rPr>
          <w:rStyle w:val="SubtleReference"/>
          <w:smallCaps w:val="0"/>
          <w:color w:val="auto"/>
        </w:rPr>
      </w:pPr>
    </w:p>
    <w:tbl>
      <w:tblPr>
        <w:tblStyle w:val="TableGrid"/>
        <w:tblW w:w="0" w:type="auto"/>
        <w:tblLook w:val="04A0" w:firstRow="1" w:lastRow="0" w:firstColumn="1" w:lastColumn="0" w:noHBand="0" w:noVBand="1"/>
      </w:tblPr>
      <w:tblGrid>
        <w:gridCol w:w="1975"/>
        <w:gridCol w:w="7375"/>
      </w:tblGrid>
      <w:tr w:rsidR="00BF43FC" w:rsidRPr="00BF43FC" w:rsidTr="00D95A67">
        <w:tc>
          <w:tcPr>
            <w:tcW w:w="1975" w:type="dxa"/>
          </w:tcPr>
          <w:p w:rsidR="00D95A67" w:rsidRPr="00BF43FC" w:rsidRDefault="00D95A67" w:rsidP="00D95A67">
            <w:pPr>
              <w:jc w:val="right"/>
              <w:rPr>
                <w:rStyle w:val="SubtleReference"/>
                <w:smallCaps w:val="0"/>
                <w:color w:val="auto"/>
              </w:rPr>
            </w:pPr>
            <w:r w:rsidRPr="00BF43FC">
              <w:rPr>
                <w:rStyle w:val="SubtleReference"/>
                <w:smallCaps w:val="0"/>
                <w:color w:val="auto"/>
              </w:rPr>
              <w:t>Contact Name:</w:t>
            </w:r>
          </w:p>
        </w:tc>
        <w:tc>
          <w:tcPr>
            <w:tcW w:w="7375" w:type="dxa"/>
          </w:tcPr>
          <w:p w:rsidR="00D95A67" w:rsidRPr="00BF43FC" w:rsidRDefault="00D95A67" w:rsidP="00493DEE">
            <w:pPr>
              <w:rPr>
                <w:rStyle w:val="SubtleReference"/>
                <w:smallCaps w:val="0"/>
                <w:color w:val="auto"/>
              </w:rPr>
            </w:pPr>
          </w:p>
        </w:tc>
      </w:tr>
      <w:tr w:rsidR="00BF43FC" w:rsidRPr="00BF43FC" w:rsidTr="00D95A67">
        <w:tc>
          <w:tcPr>
            <w:tcW w:w="1975" w:type="dxa"/>
          </w:tcPr>
          <w:p w:rsidR="00D95A67" w:rsidRPr="00BF43FC" w:rsidRDefault="00D95A67" w:rsidP="00D95A67">
            <w:pPr>
              <w:jc w:val="right"/>
              <w:rPr>
                <w:rStyle w:val="SubtleReference"/>
                <w:smallCaps w:val="0"/>
                <w:color w:val="auto"/>
              </w:rPr>
            </w:pPr>
            <w:r w:rsidRPr="00BF43FC">
              <w:rPr>
                <w:rStyle w:val="SubtleReference"/>
                <w:smallCaps w:val="0"/>
                <w:color w:val="auto"/>
              </w:rPr>
              <w:t>Company Name:</w:t>
            </w:r>
          </w:p>
        </w:tc>
        <w:tc>
          <w:tcPr>
            <w:tcW w:w="7375" w:type="dxa"/>
          </w:tcPr>
          <w:p w:rsidR="00D95A67" w:rsidRPr="00BF43FC" w:rsidRDefault="00D95A67" w:rsidP="00493DEE">
            <w:pPr>
              <w:rPr>
                <w:rStyle w:val="SubtleReference"/>
                <w:smallCaps w:val="0"/>
                <w:color w:val="auto"/>
              </w:rPr>
            </w:pPr>
          </w:p>
        </w:tc>
      </w:tr>
      <w:tr w:rsidR="00BF43FC" w:rsidRPr="00BF43FC" w:rsidTr="00D95A67">
        <w:tc>
          <w:tcPr>
            <w:tcW w:w="1975" w:type="dxa"/>
          </w:tcPr>
          <w:p w:rsidR="00D95A67" w:rsidRPr="00BF43FC" w:rsidRDefault="00D95A67" w:rsidP="00D95A67">
            <w:pPr>
              <w:jc w:val="right"/>
              <w:rPr>
                <w:rStyle w:val="SubtleReference"/>
                <w:smallCaps w:val="0"/>
                <w:color w:val="auto"/>
              </w:rPr>
            </w:pPr>
            <w:r w:rsidRPr="00BF43FC">
              <w:rPr>
                <w:rStyle w:val="SubtleReference"/>
                <w:smallCaps w:val="0"/>
                <w:color w:val="auto"/>
              </w:rPr>
              <w:t>Address:</w:t>
            </w:r>
          </w:p>
        </w:tc>
        <w:tc>
          <w:tcPr>
            <w:tcW w:w="7375" w:type="dxa"/>
          </w:tcPr>
          <w:p w:rsidR="00D95A67" w:rsidRPr="00BF43FC" w:rsidRDefault="00D95A67" w:rsidP="00493DEE">
            <w:pPr>
              <w:rPr>
                <w:rStyle w:val="SubtleReference"/>
                <w:smallCaps w:val="0"/>
                <w:color w:val="auto"/>
              </w:rPr>
            </w:pPr>
          </w:p>
        </w:tc>
      </w:tr>
      <w:tr w:rsidR="00BF43FC" w:rsidRPr="00BF43FC" w:rsidTr="00D95A67">
        <w:tc>
          <w:tcPr>
            <w:tcW w:w="1975" w:type="dxa"/>
          </w:tcPr>
          <w:p w:rsidR="00D95A67" w:rsidRPr="00BF43FC" w:rsidRDefault="00D95A67" w:rsidP="00D95A67">
            <w:pPr>
              <w:jc w:val="right"/>
              <w:rPr>
                <w:rStyle w:val="SubtleReference"/>
                <w:smallCaps w:val="0"/>
                <w:color w:val="auto"/>
              </w:rPr>
            </w:pPr>
            <w:r w:rsidRPr="00BF43FC">
              <w:rPr>
                <w:rStyle w:val="SubtleReference"/>
                <w:smallCaps w:val="0"/>
                <w:color w:val="auto"/>
              </w:rPr>
              <w:t>Phone #:</w:t>
            </w:r>
          </w:p>
        </w:tc>
        <w:tc>
          <w:tcPr>
            <w:tcW w:w="7375" w:type="dxa"/>
          </w:tcPr>
          <w:p w:rsidR="00D95A67" w:rsidRPr="00BF43FC" w:rsidRDefault="00D95A67" w:rsidP="00493DEE">
            <w:pPr>
              <w:rPr>
                <w:rStyle w:val="SubtleReference"/>
                <w:smallCaps w:val="0"/>
                <w:color w:val="auto"/>
              </w:rPr>
            </w:pPr>
          </w:p>
        </w:tc>
      </w:tr>
      <w:tr w:rsidR="00BF43FC" w:rsidRPr="00BF43FC" w:rsidTr="00D95A67">
        <w:tc>
          <w:tcPr>
            <w:tcW w:w="1975" w:type="dxa"/>
          </w:tcPr>
          <w:p w:rsidR="00D95A67" w:rsidRPr="00BF43FC" w:rsidRDefault="00D95A67" w:rsidP="00D95A67">
            <w:pPr>
              <w:jc w:val="right"/>
              <w:rPr>
                <w:rStyle w:val="SubtleReference"/>
                <w:smallCaps w:val="0"/>
                <w:color w:val="auto"/>
              </w:rPr>
            </w:pPr>
            <w:r w:rsidRPr="00BF43FC">
              <w:rPr>
                <w:rStyle w:val="SubtleReference"/>
                <w:smallCaps w:val="0"/>
                <w:color w:val="auto"/>
              </w:rPr>
              <w:t>E-Mail:</w:t>
            </w:r>
          </w:p>
        </w:tc>
        <w:tc>
          <w:tcPr>
            <w:tcW w:w="7375" w:type="dxa"/>
          </w:tcPr>
          <w:p w:rsidR="00D95A67" w:rsidRPr="00BF43FC" w:rsidRDefault="00D95A67" w:rsidP="00493DEE">
            <w:pPr>
              <w:rPr>
                <w:rStyle w:val="SubtleReference"/>
                <w:smallCaps w:val="0"/>
                <w:color w:val="auto"/>
              </w:rPr>
            </w:pPr>
          </w:p>
        </w:tc>
      </w:tr>
      <w:tr w:rsidR="00BF43FC" w:rsidRPr="00BF43FC" w:rsidTr="00D95A67">
        <w:tc>
          <w:tcPr>
            <w:tcW w:w="9350" w:type="dxa"/>
            <w:gridSpan w:val="2"/>
          </w:tcPr>
          <w:p w:rsidR="00D95A67" w:rsidRPr="00BF43FC" w:rsidRDefault="00D95A67" w:rsidP="00493DEE">
            <w:pPr>
              <w:rPr>
                <w:rStyle w:val="SubtleReference"/>
                <w:smallCaps w:val="0"/>
                <w:color w:val="auto"/>
              </w:rPr>
            </w:pPr>
          </w:p>
        </w:tc>
      </w:tr>
      <w:tr w:rsidR="00BF43FC" w:rsidRPr="00BF43FC" w:rsidTr="00D95A67">
        <w:tc>
          <w:tcPr>
            <w:tcW w:w="9350" w:type="dxa"/>
            <w:gridSpan w:val="2"/>
          </w:tcPr>
          <w:p w:rsidR="00D95A67" w:rsidRPr="00BF43FC" w:rsidRDefault="00D95A67" w:rsidP="00493DEE">
            <w:pPr>
              <w:rPr>
                <w:rStyle w:val="SubtleReference"/>
                <w:smallCaps w:val="0"/>
                <w:color w:val="auto"/>
              </w:rPr>
            </w:pPr>
            <w:r w:rsidRPr="00BF43FC">
              <w:rPr>
                <w:rStyle w:val="SubtleReference"/>
                <w:smallCaps w:val="0"/>
                <w:color w:val="auto"/>
              </w:rPr>
              <w:t>Description of product/services/project, including start and end dates:</w:t>
            </w:r>
          </w:p>
        </w:tc>
      </w:tr>
      <w:tr w:rsidR="00D95A67" w:rsidRPr="00BF43FC" w:rsidTr="00D95A67">
        <w:trPr>
          <w:trHeight w:val="3275"/>
        </w:trPr>
        <w:tc>
          <w:tcPr>
            <w:tcW w:w="9350" w:type="dxa"/>
            <w:gridSpan w:val="2"/>
          </w:tcPr>
          <w:p w:rsidR="00D95A67" w:rsidRPr="00BF43FC" w:rsidRDefault="00D95A67" w:rsidP="00493DEE">
            <w:pPr>
              <w:rPr>
                <w:rStyle w:val="SubtleReference"/>
                <w:color w:val="auto"/>
              </w:rPr>
            </w:pPr>
          </w:p>
        </w:tc>
      </w:tr>
    </w:tbl>
    <w:p w:rsidR="00D95A67" w:rsidRDefault="00D95A67" w:rsidP="0072780B">
      <w:pPr>
        <w:rPr>
          <w:rStyle w:val="SubtleReference"/>
          <w:color w:val="auto"/>
        </w:rPr>
      </w:pPr>
    </w:p>
    <w:p w:rsidR="00445373" w:rsidRDefault="00445373" w:rsidP="0072780B">
      <w:pPr>
        <w:rPr>
          <w:rStyle w:val="SubtleReference"/>
          <w:color w:val="auto"/>
        </w:rPr>
      </w:pPr>
    </w:p>
    <w:p w:rsidR="00445373" w:rsidRDefault="00445373">
      <w:pPr>
        <w:spacing w:after="160" w:line="259" w:lineRule="auto"/>
        <w:rPr>
          <w:rStyle w:val="SubtleReference"/>
          <w:color w:val="auto"/>
        </w:rPr>
      </w:pPr>
      <w:r>
        <w:rPr>
          <w:rStyle w:val="SubtleReference"/>
          <w:color w:val="auto"/>
        </w:rPr>
        <w:br w:type="page"/>
      </w:r>
    </w:p>
    <w:p w:rsidR="00445373" w:rsidRDefault="00445373" w:rsidP="0072780B">
      <w:pPr>
        <w:rPr>
          <w:rStyle w:val="SubtleReference"/>
        </w:rPr>
        <w:sectPr w:rsidR="00445373" w:rsidSect="002A492C">
          <w:headerReference w:type="even" r:id="rId18"/>
          <w:headerReference w:type="default" r:id="rId19"/>
          <w:headerReference w:type="first" r:id="rId20"/>
          <w:type w:val="continuous"/>
          <w:pgSz w:w="12240" w:h="15840" w:code="1"/>
          <w:pgMar w:top="1440" w:right="1440" w:bottom="1440" w:left="1440" w:header="720" w:footer="720" w:gutter="0"/>
          <w:cols w:space="720"/>
          <w:docGrid w:linePitch="360"/>
        </w:sectPr>
      </w:pPr>
    </w:p>
    <w:p w:rsidR="00445373" w:rsidRPr="00EF69C0" w:rsidRDefault="00445373" w:rsidP="0072780B">
      <w:pPr>
        <w:rPr>
          <w:rStyle w:val="SubtleReference"/>
        </w:rPr>
        <w:sectPr w:rsidR="00445373" w:rsidRPr="00EF69C0" w:rsidSect="002A492C">
          <w:headerReference w:type="default" r:id="rId21"/>
          <w:pgSz w:w="12240" w:h="15840" w:code="1"/>
          <w:pgMar w:top="1440" w:right="1440" w:bottom="1440" w:left="1440" w:header="720" w:footer="720" w:gutter="0"/>
          <w:cols w:space="720"/>
          <w:docGrid w:linePitch="360"/>
        </w:sectPr>
      </w:pPr>
    </w:p>
    <w:p w:rsidR="00445373" w:rsidRPr="00216063" w:rsidRDefault="00445373" w:rsidP="00445373">
      <w:pPr>
        <w:rPr>
          <w:b/>
          <w:sz w:val="24"/>
          <w:highlight w:val="yellow"/>
        </w:rPr>
      </w:pPr>
      <w:r w:rsidRPr="00216063">
        <w:rPr>
          <w:b/>
          <w:sz w:val="24"/>
        </w:rPr>
        <w:t>List and clearly explain any exceptions, for Articles in the Standard Contract, in the table below.</w:t>
      </w:r>
    </w:p>
    <w:p w:rsidR="00445373" w:rsidRPr="00216063" w:rsidRDefault="00445373" w:rsidP="00445373">
      <w:pPr>
        <w:pStyle w:val="Heading9"/>
        <w:rPr>
          <w:sz w:val="24"/>
          <w:szCs w:val="24"/>
        </w:rPr>
      </w:pPr>
    </w:p>
    <w:p w:rsidR="00445373" w:rsidRPr="00216063" w:rsidRDefault="00445373" w:rsidP="00445373">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2721"/>
        <w:gridCol w:w="2342"/>
        <w:gridCol w:w="2342"/>
      </w:tblGrid>
      <w:tr w:rsidR="00445373" w:rsidRPr="00216063" w:rsidTr="00493DEE">
        <w:tc>
          <w:tcPr>
            <w:tcW w:w="1978" w:type="dxa"/>
          </w:tcPr>
          <w:p w:rsidR="00445373" w:rsidRPr="00216063" w:rsidRDefault="00445373" w:rsidP="00493DEE">
            <w:pPr>
              <w:rPr>
                <w:sz w:val="24"/>
              </w:rPr>
            </w:pPr>
            <w:r w:rsidRPr="0071137D">
              <w:rPr>
                <w:bCs/>
                <w:sz w:val="24"/>
              </w:rPr>
              <w:t>ITS</w:t>
            </w:r>
            <w:r w:rsidRPr="00216063">
              <w:rPr>
                <w:sz w:val="24"/>
              </w:rPr>
              <w:t xml:space="preserve"> Standard Contract Article</w:t>
            </w:r>
          </w:p>
        </w:tc>
        <w:tc>
          <w:tcPr>
            <w:tcW w:w="2805" w:type="dxa"/>
          </w:tcPr>
          <w:p w:rsidR="00445373" w:rsidRPr="00216063" w:rsidRDefault="00445373" w:rsidP="00493DEE">
            <w:pPr>
              <w:rPr>
                <w:sz w:val="24"/>
              </w:rPr>
            </w:pPr>
            <w:r w:rsidRPr="00216063">
              <w:rPr>
                <w:sz w:val="24"/>
              </w:rPr>
              <w:t>Bidder Proposal Reference</w:t>
            </w:r>
          </w:p>
        </w:tc>
        <w:tc>
          <w:tcPr>
            <w:tcW w:w="2394" w:type="dxa"/>
          </w:tcPr>
          <w:p w:rsidR="00445373" w:rsidRPr="00216063" w:rsidRDefault="00445373" w:rsidP="00493DEE">
            <w:pPr>
              <w:rPr>
                <w:sz w:val="24"/>
              </w:rPr>
            </w:pPr>
            <w:r w:rsidRPr="00216063">
              <w:rPr>
                <w:sz w:val="24"/>
              </w:rPr>
              <w:t>Brief Explanation of Exception</w:t>
            </w:r>
          </w:p>
        </w:tc>
        <w:tc>
          <w:tcPr>
            <w:tcW w:w="2394" w:type="dxa"/>
          </w:tcPr>
          <w:p w:rsidR="00445373" w:rsidRPr="00216063" w:rsidRDefault="00445373" w:rsidP="00493DEE">
            <w:pPr>
              <w:rPr>
                <w:sz w:val="24"/>
              </w:rPr>
            </w:pPr>
            <w:r w:rsidRPr="0071137D">
              <w:rPr>
                <w:bCs/>
                <w:sz w:val="24"/>
              </w:rPr>
              <w:t>ITS</w:t>
            </w:r>
            <w:r w:rsidRPr="0071137D">
              <w:rPr>
                <w:sz w:val="24"/>
              </w:rPr>
              <w:t xml:space="preserve"> </w:t>
            </w:r>
            <w:r w:rsidRPr="00216063">
              <w:rPr>
                <w:sz w:val="24"/>
              </w:rPr>
              <w:t>Acceptance (sign here only if accepted)</w:t>
            </w:r>
          </w:p>
        </w:tc>
      </w:tr>
      <w:tr w:rsidR="00445373" w:rsidRPr="00216063" w:rsidTr="00493DEE">
        <w:tc>
          <w:tcPr>
            <w:tcW w:w="1978" w:type="dxa"/>
          </w:tcPr>
          <w:p w:rsidR="00445373" w:rsidRPr="00216063" w:rsidRDefault="00445373" w:rsidP="00493DEE">
            <w:pPr>
              <w:rPr>
                <w:sz w:val="24"/>
              </w:rPr>
            </w:pPr>
            <w:r w:rsidRPr="00216063">
              <w:rPr>
                <w:sz w:val="24"/>
              </w:rPr>
              <w:t>(Reference specific contract article to which exception is taken)</w:t>
            </w:r>
          </w:p>
        </w:tc>
        <w:tc>
          <w:tcPr>
            <w:tcW w:w="2805" w:type="dxa"/>
          </w:tcPr>
          <w:p w:rsidR="00445373" w:rsidRPr="00216063" w:rsidRDefault="00445373" w:rsidP="00493DEE">
            <w:pPr>
              <w:rPr>
                <w:sz w:val="24"/>
              </w:rPr>
            </w:pPr>
            <w:r w:rsidRPr="00216063">
              <w:rPr>
                <w:sz w:val="24"/>
              </w:rPr>
              <w:t>(Page, section, items in Bidder’s proposal where exception is explained)</w:t>
            </w:r>
          </w:p>
        </w:tc>
        <w:tc>
          <w:tcPr>
            <w:tcW w:w="2394" w:type="dxa"/>
          </w:tcPr>
          <w:p w:rsidR="00445373" w:rsidRPr="00216063" w:rsidRDefault="00445373" w:rsidP="00493DEE">
            <w:pPr>
              <w:rPr>
                <w:sz w:val="24"/>
              </w:rPr>
            </w:pPr>
            <w:r w:rsidRPr="00216063">
              <w:rPr>
                <w:sz w:val="24"/>
              </w:rPr>
              <w:t>(Short description of exception being made)</w:t>
            </w:r>
          </w:p>
        </w:tc>
        <w:tc>
          <w:tcPr>
            <w:tcW w:w="2394" w:type="dxa"/>
          </w:tcPr>
          <w:p w:rsidR="00445373" w:rsidRPr="00216063" w:rsidRDefault="00445373" w:rsidP="00493DEE">
            <w:pPr>
              <w:rPr>
                <w:sz w:val="24"/>
              </w:rPr>
            </w:pPr>
          </w:p>
        </w:tc>
      </w:tr>
      <w:tr w:rsidR="00445373" w:rsidRPr="00216063" w:rsidTr="00493DEE">
        <w:tc>
          <w:tcPr>
            <w:tcW w:w="1978" w:type="dxa"/>
          </w:tcPr>
          <w:p w:rsidR="00445373" w:rsidRPr="00216063" w:rsidRDefault="00445373" w:rsidP="00493DEE">
            <w:pPr>
              <w:rPr>
                <w:sz w:val="24"/>
              </w:rPr>
            </w:pPr>
          </w:p>
        </w:tc>
        <w:tc>
          <w:tcPr>
            <w:tcW w:w="2805" w:type="dxa"/>
          </w:tcPr>
          <w:p w:rsidR="00445373" w:rsidRPr="00216063" w:rsidRDefault="00445373" w:rsidP="00493DEE">
            <w:pPr>
              <w:rPr>
                <w:sz w:val="24"/>
              </w:rPr>
            </w:pPr>
          </w:p>
        </w:tc>
        <w:tc>
          <w:tcPr>
            <w:tcW w:w="2394" w:type="dxa"/>
          </w:tcPr>
          <w:p w:rsidR="00445373" w:rsidRPr="00216063" w:rsidRDefault="00445373" w:rsidP="00493DEE">
            <w:pPr>
              <w:rPr>
                <w:sz w:val="24"/>
              </w:rPr>
            </w:pPr>
          </w:p>
        </w:tc>
        <w:tc>
          <w:tcPr>
            <w:tcW w:w="2394" w:type="dxa"/>
          </w:tcPr>
          <w:p w:rsidR="00445373" w:rsidRPr="00216063" w:rsidRDefault="00445373" w:rsidP="00493DEE">
            <w:pPr>
              <w:rPr>
                <w:sz w:val="24"/>
              </w:rPr>
            </w:pPr>
          </w:p>
        </w:tc>
      </w:tr>
      <w:tr w:rsidR="00445373" w:rsidRPr="00216063" w:rsidTr="00493DEE">
        <w:tc>
          <w:tcPr>
            <w:tcW w:w="1978" w:type="dxa"/>
          </w:tcPr>
          <w:p w:rsidR="00445373" w:rsidRPr="00216063" w:rsidRDefault="00445373" w:rsidP="00493DEE">
            <w:pPr>
              <w:rPr>
                <w:sz w:val="24"/>
              </w:rPr>
            </w:pPr>
          </w:p>
        </w:tc>
        <w:tc>
          <w:tcPr>
            <w:tcW w:w="2805" w:type="dxa"/>
          </w:tcPr>
          <w:p w:rsidR="00445373" w:rsidRPr="00216063" w:rsidRDefault="00445373" w:rsidP="00493DEE">
            <w:pPr>
              <w:rPr>
                <w:sz w:val="24"/>
              </w:rPr>
            </w:pPr>
          </w:p>
        </w:tc>
        <w:tc>
          <w:tcPr>
            <w:tcW w:w="2394" w:type="dxa"/>
          </w:tcPr>
          <w:p w:rsidR="00445373" w:rsidRPr="00216063" w:rsidRDefault="00445373" w:rsidP="00493DEE">
            <w:pPr>
              <w:rPr>
                <w:sz w:val="24"/>
              </w:rPr>
            </w:pPr>
          </w:p>
        </w:tc>
        <w:tc>
          <w:tcPr>
            <w:tcW w:w="2394" w:type="dxa"/>
          </w:tcPr>
          <w:p w:rsidR="00445373" w:rsidRPr="00216063" w:rsidRDefault="00445373" w:rsidP="00493DEE">
            <w:pPr>
              <w:rPr>
                <w:sz w:val="24"/>
              </w:rPr>
            </w:pPr>
          </w:p>
        </w:tc>
      </w:tr>
      <w:tr w:rsidR="00445373" w:rsidRPr="00216063" w:rsidTr="00493DEE">
        <w:tc>
          <w:tcPr>
            <w:tcW w:w="1978" w:type="dxa"/>
          </w:tcPr>
          <w:p w:rsidR="00445373" w:rsidRPr="00216063" w:rsidRDefault="00445373" w:rsidP="00493DEE">
            <w:pPr>
              <w:rPr>
                <w:sz w:val="24"/>
              </w:rPr>
            </w:pPr>
          </w:p>
        </w:tc>
        <w:tc>
          <w:tcPr>
            <w:tcW w:w="2805" w:type="dxa"/>
          </w:tcPr>
          <w:p w:rsidR="00445373" w:rsidRPr="00216063" w:rsidRDefault="00445373" w:rsidP="00493DEE">
            <w:pPr>
              <w:rPr>
                <w:sz w:val="24"/>
              </w:rPr>
            </w:pPr>
          </w:p>
        </w:tc>
        <w:tc>
          <w:tcPr>
            <w:tcW w:w="2394" w:type="dxa"/>
          </w:tcPr>
          <w:p w:rsidR="00445373" w:rsidRPr="00216063" w:rsidRDefault="00445373" w:rsidP="00493DEE">
            <w:pPr>
              <w:rPr>
                <w:sz w:val="24"/>
              </w:rPr>
            </w:pPr>
          </w:p>
        </w:tc>
        <w:tc>
          <w:tcPr>
            <w:tcW w:w="2394" w:type="dxa"/>
          </w:tcPr>
          <w:p w:rsidR="00445373" w:rsidRPr="00216063" w:rsidRDefault="00445373" w:rsidP="00493DEE">
            <w:pPr>
              <w:rPr>
                <w:sz w:val="24"/>
              </w:rPr>
            </w:pPr>
          </w:p>
        </w:tc>
      </w:tr>
      <w:tr w:rsidR="00445373" w:rsidRPr="00216063" w:rsidTr="00493DEE">
        <w:tc>
          <w:tcPr>
            <w:tcW w:w="1978" w:type="dxa"/>
          </w:tcPr>
          <w:p w:rsidR="00445373" w:rsidRPr="00216063" w:rsidRDefault="00445373" w:rsidP="00493DEE">
            <w:pPr>
              <w:rPr>
                <w:sz w:val="24"/>
              </w:rPr>
            </w:pPr>
          </w:p>
        </w:tc>
        <w:tc>
          <w:tcPr>
            <w:tcW w:w="2805" w:type="dxa"/>
          </w:tcPr>
          <w:p w:rsidR="00445373" w:rsidRPr="00216063" w:rsidRDefault="00445373" w:rsidP="00493DEE">
            <w:pPr>
              <w:rPr>
                <w:sz w:val="24"/>
              </w:rPr>
            </w:pPr>
          </w:p>
        </w:tc>
        <w:tc>
          <w:tcPr>
            <w:tcW w:w="2394" w:type="dxa"/>
          </w:tcPr>
          <w:p w:rsidR="00445373" w:rsidRPr="00216063" w:rsidRDefault="00445373" w:rsidP="00493DEE">
            <w:pPr>
              <w:rPr>
                <w:sz w:val="24"/>
              </w:rPr>
            </w:pPr>
          </w:p>
        </w:tc>
        <w:tc>
          <w:tcPr>
            <w:tcW w:w="2394" w:type="dxa"/>
          </w:tcPr>
          <w:p w:rsidR="00445373" w:rsidRPr="00216063" w:rsidRDefault="00445373" w:rsidP="00493DEE">
            <w:pPr>
              <w:rPr>
                <w:sz w:val="24"/>
              </w:rPr>
            </w:pPr>
          </w:p>
        </w:tc>
      </w:tr>
    </w:tbl>
    <w:p w:rsidR="00445373" w:rsidRDefault="00445373" w:rsidP="00445373">
      <w:pPr>
        <w:spacing w:line="268" w:lineRule="auto"/>
        <w:rPr>
          <w:sz w:val="24"/>
        </w:rPr>
      </w:pPr>
    </w:p>
    <w:p w:rsidR="00A63AC3" w:rsidRDefault="00A63AC3" w:rsidP="0072780B">
      <w:pPr>
        <w:rPr>
          <w:rStyle w:val="SubtleReference"/>
        </w:rPr>
        <w:sectPr w:rsidR="00A63AC3" w:rsidSect="002A492C">
          <w:headerReference w:type="default" r:id="rId22"/>
          <w:endnotePr>
            <w:numFmt w:val="decimal"/>
          </w:endnotePr>
          <w:type w:val="continuous"/>
          <w:pgSz w:w="12240" w:h="15840"/>
          <w:pgMar w:top="1440" w:right="1440" w:bottom="1440" w:left="1440" w:header="720" w:footer="720" w:gutter="0"/>
          <w:cols w:space="720"/>
          <w:noEndnote/>
        </w:sectPr>
      </w:pPr>
    </w:p>
    <w:p w:rsidR="00241472" w:rsidRDefault="00241472" w:rsidP="00241472">
      <w:pPr>
        <w:jc w:val="center"/>
        <w:rPr>
          <w:rFonts w:eastAsia="Calibri" w:cs="Times New Roman"/>
          <w:b/>
        </w:rPr>
      </w:pPr>
      <w:r>
        <w:rPr>
          <w:rFonts w:eastAsia="Calibri" w:cs="Times New Roman"/>
          <w:b/>
        </w:rPr>
        <w:lastRenderedPageBreak/>
        <w:t xml:space="preserve">ATTACHMENT D  </w:t>
      </w:r>
    </w:p>
    <w:p w:rsidR="00241472" w:rsidRDefault="00241472" w:rsidP="00241472">
      <w:pPr>
        <w:spacing w:before="240"/>
        <w:jc w:val="both"/>
        <w:rPr>
          <w:rFonts w:eastAsia="Calibri" w:cs="Times New Roman"/>
        </w:rPr>
      </w:pPr>
      <w:r w:rsidRPr="00241472">
        <w:rPr>
          <w:rFonts w:eastAsia="Calibri" w:cs="Times New Roman"/>
        </w:rPr>
        <w:t>A properly executed contract is a requirement of this IFB.  After an award has been made, it will be necessary for the winning Bidder to execute a contract with ITS.  The inclusion of this contract does not preclude </w:t>
      </w:r>
      <w:proofErr w:type="gramStart"/>
      <w:r w:rsidRPr="00241472">
        <w:rPr>
          <w:rFonts w:eastAsia="Calibri" w:cs="Times New Roman"/>
        </w:rPr>
        <w:t>ITS</w:t>
      </w:r>
      <w:proofErr w:type="gramEnd"/>
      <w:r w:rsidRPr="00241472">
        <w:rPr>
          <w:rFonts w:eastAsia="Calibri" w:cs="Times New Roman"/>
        </w:rPr>
        <w:t> from, at its sole discretion, negotiating additional terms and conditions with the selected Vendor(s) specific to the projects covered by this IFB.</w:t>
      </w:r>
    </w:p>
    <w:p w:rsidR="00241472" w:rsidRDefault="00241472" w:rsidP="00241472">
      <w:pPr>
        <w:jc w:val="both"/>
        <w:rPr>
          <w:rFonts w:eastAsia="Calibri" w:cs="Times New Roman"/>
        </w:rPr>
      </w:pPr>
    </w:p>
    <w:p w:rsidR="00241472" w:rsidRPr="00241472" w:rsidRDefault="00241472" w:rsidP="00241472">
      <w:pPr>
        <w:jc w:val="both"/>
        <w:rPr>
          <w:rFonts w:eastAsia="Calibri" w:cs="Times New Roman"/>
          <w:b/>
        </w:rPr>
      </w:pPr>
    </w:p>
    <w:p w:rsidR="00E36E61" w:rsidRPr="00E36E61" w:rsidRDefault="00E36E61" w:rsidP="00E36E61">
      <w:pPr>
        <w:jc w:val="center"/>
        <w:rPr>
          <w:rFonts w:eastAsia="Calibri" w:cs="Times New Roman"/>
          <w:b/>
        </w:rPr>
      </w:pPr>
      <w:r w:rsidRPr="00E36E61">
        <w:rPr>
          <w:rFonts w:eastAsia="Calibri" w:cs="Times New Roman"/>
          <w:b/>
        </w:rPr>
        <w:t xml:space="preserve">PROJECT NUMBER </w:t>
      </w:r>
      <w:bookmarkStart w:id="2" w:name="projectnumber"/>
      <w:bookmarkEnd w:id="2"/>
      <w:r w:rsidRPr="00E36E61">
        <w:rPr>
          <w:rFonts w:eastAsia="Calibri" w:cs="Times New Roman"/>
          <w:b/>
        </w:rPr>
        <w:t>44354</w:t>
      </w:r>
    </w:p>
    <w:p w:rsidR="00E36E61" w:rsidRPr="00E36E61" w:rsidRDefault="00557C5B" w:rsidP="00E36E61">
      <w:pPr>
        <w:jc w:val="center"/>
        <w:rPr>
          <w:rFonts w:eastAsia="Calibri" w:cs="Times New Roman"/>
          <w:b/>
        </w:rPr>
      </w:pPr>
      <w:r>
        <w:rPr>
          <w:rFonts w:eastAsia="Calibri" w:cs="Times New Roman"/>
          <w:b/>
        </w:rPr>
        <w:t>SOFTWARE AS A SERVICE</w:t>
      </w:r>
      <w:r w:rsidR="00E36E61" w:rsidRPr="00E36E61">
        <w:rPr>
          <w:rFonts w:eastAsia="Calibri" w:cs="Times New Roman"/>
          <w:b/>
        </w:rPr>
        <w:t>AGREEMENT</w:t>
      </w:r>
    </w:p>
    <w:p w:rsidR="00E36E61" w:rsidRPr="00E36E61" w:rsidRDefault="00E36E61" w:rsidP="00E36E61">
      <w:pPr>
        <w:jc w:val="center"/>
        <w:rPr>
          <w:rFonts w:eastAsia="Calibri" w:cs="Times New Roman"/>
          <w:b/>
        </w:rPr>
      </w:pPr>
      <w:r w:rsidRPr="00E36E61">
        <w:rPr>
          <w:rFonts w:eastAsia="Calibri" w:cs="Times New Roman"/>
          <w:b/>
        </w:rPr>
        <w:t>BETWEEN</w:t>
      </w:r>
    </w:p>
    <w:p w:rsidR="00E36E61" w:rsidRDefault="00493DEE" w:rsidP="00E36E61">
      <w:pPr>
        <w:jc w:val="center"/>
        <w:rPr>
          <w:rFonts w:eastAsia="Calibri" w:cs="Times New Roman"/>
          <w:b/>
        </w:rPr>
      </w:pPr>
      <w:bookmarkStart w:id="3" w:name="vendorname"/>
      <w:bookmarkEnd w:id="3"/>
      <w:r>
        <w:rPr>
          <w:rFonts w:eastAsia="Calibri" w:cs="Times New Roman"/>
          <w:b/>
          <w:highlight w:val="yellow"/>
        </w:rPr>
        <w:t>BIDDER</w:t>
      </w:r>
      <w:r w:rsidR="00E36E61" w:rsidRPr="00E36E61">
        <w:rPr>
          <w:rFonts w:eastAsia="Calibri" w:cs="Times New Roman"/>
          <w:b/>
          <w:highlight w:val="yellow"/>
        </w:rPr>
        <w:t xml:space="preserve"> NAME</w:t>
      </w:r>
    </w:p>
    <w:p w:rsidR="00557C5B" w:rsidRPr="00557C5B" w:rsidRDefault="00557C5B" w:rsidP="00557C5B">
      <w:pPr>
        <w:widowControl w:val="0"/>
        <w:tabs>
          <w:tab w:val="center" w:pos="4680"/>
        </w:tabs>
        <w:autoSpaceDE w:val="0"/>
        <w:autoSpaceDN w:val="0"/>
        <w:adjustRightInd w:val="0"/>
        <w:jc w:val="center"/>
        <w:rPr>
          <w:rFonts w:eastAsia="Calibri"/>
          <w:b/>
          <w:bCs/>
        </w:rPr>
      </w:pPr>
      <w:r w:rsidRPr="00557C5B">
        <w:rPr>
          <w:rFonts w:eastAsia="Calibri"/>
          <w:b/>
          <w:bCs/>
        </w:rPr>
        <w:t>AND</w:t>
      </w:r>
    </w:p>
    <w:p w:rsidR="00557C5B" w:rsidRPr="00557C5B" w:rsidRDefault="00557C5B" w:rsidP="00557C5B">
      <w:pPr>
        <w:widowControl w:val="0"/>
        <w:tabs>
          <w:tab w:val="center" w:pos="4680"/>
        </w:tabs>
        <w:autoSpaceDE w:val="0"/>
        <w:autoSpaceDN w:val="0"/>
        <w:adjustRightInd w:val="0"/>
        <w:jc w:val="center"/>
        <w:rPr>
          <w:rFonts w:eastAsia="Calibri"/>
          <w:b/>
          <w:bCs/>
        </w:rPr>
      </w:pPr>
      <w:r w:rsidRPr="00557C5B">
        <w:rPr>
          <w:rFonts w:eastAsia="Calibri"/>
          <w:b/>
          <w:bCs/>
        </w:rPr>
        <w:t>MISSISSIPPI DEPARTMENT OF INFORMATION TECHNOLOGY SERVICES</w:t>
      </w:r>
    </w:p>
    <w:p w:rsidR="00557C5B" w:rsidRPr="00557C5B" w:rsidRDefault="00557C5B" w:rsidP="00557C5B">
      <w:pPr>
        <w:widowControl w:val="0"/>
        <w:tabs>
          <w:tab w:val="center" w:pos="4680"/>
        </w:tabs>
        <w:autoSpaceDE w:val="0"/>
        <w:autoSpaceDN w:val="0"/>
        <w:adjustRightInd w:val="0"/>
        <w:jc w:val="center"/>
        <w:rPr>
          <w:rFonts w:eastAsia="Calibri"/>
          <w:b/>
          <w:bCs/>
        </w:rPr>
      </w:pPr>
      <w:r w:rsidRPr="00557C5B">
        <w:rPr>
          <w:rFonts w:eastAsia="Calibri"/>
          <w:b/>
          <w:bCs/>
        </w:rPr>
        <w:t>AS CONTRACTING AGENT FOR THE</w:t>
      </w:r>
    </w:p>
    <w:p w:rsidR="00557C5B" w:rsidRPr="00557C5B" w:rsidRDefault="00557C5B" w:rsidP="00557C5B">
      <w:pPr>
        <w:widowControl w:val="0"/>
        <w:tabs>
          <w:tab w:val="center" w:pos="4680"/>
        </w:tabs>
        <w:autoSpaceDE w:val="0"/>
        <w:autoSpaceDN w:val="0"/>
        <w:adjustRightInd w:val="0"/>
        <w:jc w:val="center"/>
        <w:rPr>
          <w:rFonts w:eastAsia="Calibri"/>
          <w:b/>
          <w:bCs/>
        </w:rPr>
      </w:pPr>
      <w:r w:rsidRPr="00557C5B">
        <w:rPr>
          <w:rFonts w:eastAsia="Calibri"/>
          <w:b/>
          <w:bCs/>
        </w:rPr>
        <w:t xml:space="preserve"> </w:t>
      </w:r>
      <w:bookmarkStart w:id="4" w:name="agencyname"/>
      <w:bookmarkEnd w:id="4"/>
      <w:r w:rsidRPr="00557C5B">
        <w:rPr>
          <w:rFonts w:eastAsia="Calibri"/>
          <w:b/>
          <w:bCs/>
        </w:rPr>
        <w:t>MISSISSIPPI TRANSPORTATION COMMISSION</w:t>
      </w:r>
      <w:r w:rsidRPr="00557C5B">
        <w:rPr>
          <w:rFonts w:eastAsia="Calibri"/>
          <w:b/>
          <w:bCs/>
        </w:rPr>
        <w:fldChar w:fldCharType="begin"/>
      </w:r>
      <w:r w:rsidRPr="00557C5B">
        <w:rPr>
          <w:rFonts w:eastAsia="Calibri"/>
          <w:b/>
          <w:bCs/>
        </w:rPr>
        <w:instrText xml:space="preserve"> ASK AgencyCode "Enter the Agency Code (Ex. ITS)" \* MERGEFORMAT </w:instrText>
      </w:r>
      <w:r w:rsidRPr="00557C5B">
        <w:rPr>
          <w:rFonts w:eastAsia="Calibri"/>
          <w:b/>
          <w:bCs/>
        </w:rPr>
        <w:fldChar w:fldCharType="separate"/>
      </w:r>
      <w:r w:rsidRPr="00557C5B">
        <w:rPr>
          <w:rFonts w:eastAsia="Calibri"/>
          <w:b/>
          <w:bCs/>
        </w:rPr>
        <w:t>DOM</w:t>
      </w:r>
      <w:r w:rsidRPr="00557C5B">
        <w:rPr>
          <w:rFonts w:eastAsia="Calibri"/>
          <w:b/>
          <w:bCs/>
        </w:rPr>
        <w:fldChar w:fldCharType="end"/>
      </w:r>
      <w:r w:rsidRPr="00557C5B">
        <w:rPr>
          <w:rFonts w:eastAsia="Calibri"/>
          <w:b/>
          <w:bCs/>
        </w:rPr>
        <w:fldChar w:fldCharType="begin"/>
      </w:r>
      <w:r w:rsidRPr="00557C5B">
        <w:rPr>
          <w:rFonts w:eastAsia="Calibri"/>
          <w:b/>
          <w:bCs/>
        </w:rPr>
        <w:instrText xml:space="preserve"> ASK ModifyDate "Enter the Date Modified (Ex. Oct2003)" \* MERGEFORMAT </w:instrText>
      </w:r>
      <w:r w:rsidRPr="00557C5B">
        <w:rPr>
          <w:rFonts w:eastAsia="Calibri"/>
          <w:b/>
          <w:bCs/>
        </w:rPr>
        <w:fldChar w:fldCharType="separate"/>
      </w:r>
      <w:r w:rsidRPr="00557C5B">
        <w:rPr>
          <w:rFonts w:eastAsia="Calibri"/>
          <w:b/>
          <w:bCs/>
        </w:rPr>
        <w:t>INSERT DATE MODIFIED</w:t>
      </w:r>
      <w:r w:rsidRPr="00557C5B">
        <w:rPr>
          <w:rFonts w:eastAsia="Calibri"/>
          <w:b/>
          <w:bCs/>
        </w:rPr>
        <w:fldChar w:fldCharType="end"/>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rPr>
      </w:pPr>
      <w:r w:rsidRPr="00557C5B">
        <w:rPr>
          <w:rFonts w:eastAsia="Calibri"/>
        </w:rPr>
        <w:t xml:space="preserve">This Software as a Service Agreement (hereinafter referred to as “Agreement”) is entered into by and between, </w:t>
      </w:r>
      <w:bookmarkStart w:id="5" w:name="vendorname1"/>
      <w:bookmarkEnd w:id="5"/>
      <w:r>
        <w:rPr>
          <w:rFonts w:eastAsia="Calibri"/>
          <w:highlight w:val="yellow"/>
        </w:rPr>
        <w:t>BIDDER</w:t>
      </w:r>
      <w:r w:rsidRPr="00557C5B">
        <w:rPr>
          <w:rFonts w:eastAsia="Calibri"/>
          <w:highlight w:val="yellow"/>
        </w:rPr>
        <w:t xml:space="preserve"> NAME</w:t>
      </w:r>
      <w:r w:rsidRPr="00557C5B">
        <w:rPr>
          <w:rFonts w:eastAsia="Calibri"/>
        </w:rPr>
        <w:t>, a</w:t>
      </w:r>
      <w:r w:rsidRPr="00557C5B">
        <w:rPr>
          <w:rFonts w:eastAsia="Calibri"/>
        </w:rPr>
        <w:fldChar w:fldCharType="begin"/>
      </w:r>
      <w:r w:rsidRPr="00557C5B">
        <w:rPr>
          <w:rFonts w:eastAsia="Calibri"/>
        </w:rPr>
        <w:instrText xml:space="preserve"> ASK state "Enter the State of Incorporation (Ex. Mississippi)" \* MERGEFORMAT </w:instrText>
      </w:r>
      <w:r w:rsidRPr="00557C5B">
        <w:rPr>
          <w:rFonts w:eastAsia="Calibri"/>
        </w:rPr>
        <w:fldChar w:fldCharType="separate"/>
      </w:r>
      <w:r w:rsidRPr="00557C5B">
        <w:rPr>
          <w:rFonts w:eastAsia="Calibri"/>
        </w:rPr>
        <w:t>INSERT STATE OF INCORPORATION</w:t>
      </w:r>
      <w:r w:rsidRPr="00557C5B">
        <w:rPr>
          <w:rFonts w:eastAsia="Calibri"/>
        </w:rPr>
        <w:fldChar w:fldCharType="end"/>
      </w:r>
      <w:r w:rsidRPr="00557C5B">
        <w:rPr>
          <w:rFonts w:eastAsia="Calibri"/>
        </w:rPr>
        <w:t xml:space="preserve"> </w:t>
      </w:r>
      <w:bookmarkStart w:id="6" w:name="stateofincorp"/>
      <w:bookmarkEnd w:id="6"/>
      <w:r w:rsidRPr="00557C5B">
        <w:rPr>
          <w:rFonts w:eastAsia="Calibri"/>
          <w:highlight w:val="yellow"/>
        </w:rPr>
        <w:t>STATE OF INCORPORATION</w:t>
      </w:r>
      <w:r w:rsidRPr="00557C5B">
        <w:rPr>
          <w:rFonts w:eastAsia="Calibri"/>
        </w:rPr>
        <w:t xml:space="preserve"> corporation having its principal place of business at </w:t>
      </w:r>
      <w:bookmarkStart w:id="7" w:name="vendorstreet"/>
      <w:bookmarkEnd w:id="7"/>
      <w:r>
        <w:rPr>
          <w:rFonts w:eastAsia="Calibri"/>
          <w:highlight w:val="yellow"/>
        </w:rPr>
        <w:t>BIDDER</w:t>
      </w:r>
      <w:r w:rsidRPr="00557C5B">
        <w:rPr>
          <w:rFonts w:eastAsia="Calibri"/>
          <w:highlight w:val="yellow"/>
        </w:rPr>
        <w:t xml:space="preserve"> ADDRESS</w:t>
      </w:r>
      <w:bookmarkStart w:id="8" w:name="vendorcity"/>
      <w:bookmarkStart w:id="9" w:name="vendorstate"/>
      <w:bookmarkStart w:id="10" w:name="vendorzip"/>
      <w:bookmarkEnd w:id="8"/>
      <w:bookmarkEnd w:id="9"/>
      <w:bookmarkEnd w:id="10"/>
      <w:r w:rsidRPr="00557C5B">
        <w:rPr>
          <w:rFonts w:eastAsia="Calibri"/>
          <w:highlight w:val="yellow"/>
        </w:rPr>
        <w:fldChar w:fldCharType="begin"/>
      </w:r>
      <w:r w:rsidRPr="00557C5B">
        <w:rPr>
          <w:rFonts w:eastAsia="Calibri"/>
          <w:highlight w:val="yellow"/>
        </w:rPr>
        <w:instrText xml:space="preserve"> ASK VAddress "Enter the Vendor Address (Street, City, State  Zip)" \* MERGEFORMAT </w:instrText>
      </w:r>
      <w:r w:rsidRPr="00557C5B">
        <w:rPr>
          <w:rFonts w:eastAsia="Calibri"/>
          <w:highlight w:val="yellow"/>
        </w:rPr>
        <w:fldChar w:fldCharType="separate"/>
      </w:r>
      <w:r w:rsidRPr="00557C5B">
        <w:rPr>
          <w:rFonts w:eastAsia="Calibri"/>
          <w:highlight w:val="yellow"/>
        </w:rPr>
        <w:t>INSERT VENDOR ADDRESS</w:t>
      </w:r>
      <w:r w:rsidRPr="00557C5B">
        <w:rPr>
          <w:rFonts w:eastAsia="Calibri"/>
          <w:highlight w:val="yellow"/>
        </w:rPr>
        <w:fldChar w:fldCharType="end"/>
      </w:r>
      <w:r w:rsidRPr="00557C5B">
        <w:rPr>
          <w:rFonts w:eastAsia="Calibri"/>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1" w:name="agencyname1"/>
      <w:bookmarkEnd w:id="11"/>
      <w:r w:rsidRPr="00557C5B">
        <w:rPr>
          <w:rFonts w:eastAsia="Calibri"/>
        </w:rPr>
        <w:t xml:space="preserve">Mississippi Transportation Commission for the benefit of its Department of Transportation </w:t>
      </w:r>
      <w:proofErr w:type="spellStart"/>
      <w:r w:rsidR="009A0EB9">
        <w:rPr>
          <w:rFonts w:eastAsia="Calibri"/>
        </w:rPr>
        <w:t>Bid</w:t>
      </w:r>
      <w:r w:rsidRPr="00557C5B">
        <w:rPr>
          <w:rFonts w:eastAsia="Calibri"/>
        </w:rPr>
        <w:t>ated</w:t>
      </w:r>
      <w:proofErr w:type="spellEnd"/>
      <w:r w:rsidRPr="00557C5B">
        <w:rPr>
          <w:rFonts w:eastAsia="Calibri"/>
        </w:rPr>
        <w:t xml:space="preserve"> at </w:t>
      </w:r>
      <w:bookmarkStart w:id="12" w:name="agencystreet"/>
      <w:bookmarkEnd w:id="12"/>
      <w:r w:rsidRPr="00557C5B">
        <w:rPr>
          <w:rFonts w:eastAsia="Calibri"/>
        </w:rPr>
        <w:t xml:space="preserve">401 North West Street, </w:t>
      </w:r>
      <w:bookmarkStart w:id="13" w:name="agencycity"/>
      <w:bookmarkEnd w:id="13"/>
      <w:r w:rsidRPr="00557C5B">
        <w:rPr>
          <w:rFonts w:eastAsia="Calibri"/>
        </w:rPr>
        <w:t xml:space="preserve">Jackson, </w:t>
      </w:r>
      <w:bookmarkStart w:id="14" w:name="agencystate"/>
      <w:bookmarkEnd w:id="14"/>
      <w:r w:rsidRPr="00557C5B">
        <w:rPr>
          <w:rFonts w:eastAsia="Calibri"/>
        </w:rPr>
        <w:t xml:space="preserve">Mississippi </w:t>
      </w:r>
      <w:bookmarkStart w:id="15" w:name="agencyzip"/>
      <w:bookmarkEnd w:id="15"/>
      <w:r w:rsidRPr="00557C5B">
        <w:rPr>
          <w:rFonts w:eastAsia="Calibri"/>
        </w:rPr>
        <w:t>39201 (hereinafter referred to as “Licensee” and/or “</w:t>
      </w:r>
      <w:bookmarkStart w:id="16" w:name="agencycode"/>
      <w:bookmarkEnd w:id="16"/>
      <w:r w:rsidRPr="00557C5B">
        <w:rPr>
          <w:rFonts w:eastAsia="Calibri"/>
        </w:rPr>
        <w:t xml:space="preserve">MDOT”). ITS and </w:t>
      </w:r>
      <w:bookmarkStart w:id="17" w:name="agencycode1"/>
      <w:bookmarkEnd w:id="17"/>
      <w:r w:rsidRPr="00557C5B">
        <w:rPr>
          <w:rFonts w:eastAsia="Calibri"/>
        </w:rPr>
        <w:t>MDOT are sometimes collectively referred to herein as “State.”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WHEREAS,</w:t>
      </w:r>
      <w:r w:rsidRPr="00557C5B">
        <w:rPr>
          <w:rFonts w:eastAsia="Calibri"/>
          <w:bCs/>
        </w:rPr>
        <w:t xml:space="preserve"> </w:t>
      </w:r>
      <w:bookmarkStart w:id="18" w:name="agencycode2"/>
      <w:bookmarkEnd w:id="18"/>
      <w:r w:rsidRPr="00557C5B">
        <w:rPr>
          <w:rFonts w:eastAsia="Calibri"/>
          <w:bCs/>
        </w:rPr>
        <w:t xml:space="preserve">MDOT, pursuant to Invitation for Bid (“IFB”) No. </w:t>
      </w:r>
      <w:bookmarkStart w:id="19" w:name="rfpnumber"/>
      <w:bookmarkEnd w:id="19"/>
      <w:r w:rsidRPr="00557C5B">
        <w:rPr>
          <w:rFonts w:eastAsia="Calibri"/>
          <w:bCs/>
        </w:rPr>
        <w:t>4134 requested bids for</w:t>
      </w:r>
      <w:r w:rsidRPr="00557C5B" w:rsidDel="002D453E">
        <w:rPr>
          <w:rFonts w:eastAsia="Calibri"/>
          <w:bCs/>
        </w:rPr>
        <w:t xml:space="preserve"> </w:t>
      </w:r>
      <w:r w:rsidRPr="00557C5B">
        <w:rPr>
          <w:rFonts w:eastAsia="Calibri"/>
        </w:rPr>
        <w:t xml:space="preserve">the services of a contractor to provide a Software as a Service (“SaaS”) solution for a </w:t>
      </w:r>
      <w:bookmarkStart w:id="20" w:name="descriptionofsystem"/>
      <w:bookmarkEnd w:id="20"/>
      <w:r w:rsidRPr="00557C5B">
        <w:rPr>
          <w:rFonts w:eastAsia="Calibri"/>
        </w:rPr>
        <w:t>Mass Notification Management system; and</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WHEREAS,</w:t>
      </w:r>
      <w:r w:rsidRPr="00557C5B">
        <w:rPr>
          <w:rFonts w:eastAsia="Calibri"/>
        </w:rPr>
        <w:t xml:space="preserve"> Licensor was the successful proposer in an open, fair and competitive procurement process to provide the Applications to </w:t>
      </w:r>
      <w:bookmarkStart w:id="21" w:name="agencycode3"/>
      <w:bookmarkEnd w:id="21"/>
      <w:r w:rsidRPr="00557C5B">
        <w:rPr>
          <w:rFonts w:eastAsia="Calibri"/>
        </w:rPr>
        <w:t>MDOT pursuant to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NOW THEREFORE,</w:t>
      </w:r>
      <w:r w:rsidRPr="00557C5B">
        <w:rPr>
          <w:rFonts w:eastAsia="Calibri"/>
        </w:rPr>
        <w:t xml:space="preserve"> in consideration of the mutual understandings, promises and agreements set forth, the parties hereto agree as follows: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ARTICLE 1</w:t>
      </w:r>
      <w:r w:rsidRPr="00557C5B">
        <w:rPr>
          <w:rFonts w:eastAsia="Calibri"/>
          <w:b/>
          <w:bCs/>
        </w:rPr>
        <w:tab/>
        <w:t>DEFINITIONS</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1.1</w:t>
      </w:r>
      <w:r w:rsidRPr="00557C5B">
        <w:rPr>
          <w:rFonts w:eastAsia="Calibri"/>
          <w:b/>
          <w:bCs/>
        </w:rPr>
        <w:tab/>
        <w:t xml:space="preserve">“Active User” </w:t>
      </w:r>
      <w:r w:rsidRPr="00557C5B">
        <w:rPr>
          <w:rFonts w:eastAsia="Calibri"/>
        </w:rPr>
        <w:t xml:space="preserve">means </w:t>
      </w:r>
      <w:bookmarkStart w:id="22" w:name="agencycode4"/>
      <w:bookmarkEnd w:id="22"/>
      <w:r w:rsidRPr="00557C5B">
        <w:rPr>
          <w:rFonts w:eastAsia="Calibri"/>
        </w:rPr>
        <w:t xml:space="preserve">MDOT, its employees, and any third party consultants or outsourcers engaged by </w:t>
      </w:r>
      <w:bookmarkStart w:id="23" w:name="agencycode5"/>
      <w:bookmarkEnd w:id="23"/>
      <w:r w:rsidRPr="00557C5B">
        <w:rPr>
          <w:rFonts w:eastAsia="Calibri"/>
        </w:rPr>
        <w:t>MDOT actively participating on the system in any given month of operation, who shall be bound to the terms and conditions of this Agreement. Licensor does not impose a limit on the number of Active Users accessing or registering to use the system.</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1.2</w:t>
      </w:r>
      <w:r w:rsidRPr="00557C5B">
        <w:rPr>
          <w:rFonts w:eastAsia="Calibri"/>
          <w:b/>
        </w:rPr>
        <w:tab/>
        <w:t>“Application(s)” or “SaaS Application(s)”</w:t>
      </w:r>
      <w:r w:rsidRPr="00557C5B">
        <w:rPr>
          <w:rFonts w:eastAsia="Calibri"/>
        </w:rPr>
        <w:t xml:space="preserve"> means those Licensor software application programs which are made accessible for </w:t>
      </w:r>
      <w:bookmarkStart w:id="24" w:name="agencycode6"/>
      <w:bookmarkEnd w:id="24"/>
      <w:r w:rsidRPr="00557C5B">
        <w:rPr>
          <w:rFonts w:eastAsia="Calibri"/>
        </w:rPr>
        <w:t>MDOT to use under the terms of this Agreement.</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1.3</w:t>
      </w:r>
      <w:r w:rsidRPr="00557C5B">
        <w:rPr>
          <w:rFonts w:eastAsia="Calibri"/>
          <w:b/>
          <w:bCs/>
        </w:rPr>
        <w:tab/>
        <w:t xml:space="preserve">“Available Date” </w:t>
      </w:r>
      <w:r w:rsidRPr="00557C5B">
        <w:rPr>
          <w:rFonts w:eastAsia="Calibri"/>
        </w:rPr>
        <w:t xml:space="preserve">means the date upon which Licensor notifies </w:t>
      </w:r>
      <w:bookmarkStart w:id="25" w:name="agencycode7"/>
      <w:bookmarkEnd w:id="25"/>
      <w:r w:rsidRPr="00557C5B">
        <w:rPr>
          <w:rFonts w:eastAsia="Calibri"/>
        </w:rPr>
        <w:t xml:space="preserve">MDOT that the Applications may be accessed on the Licensor’s SaaS server and </w:t>
      </w:r>
      <w:bookmarkStart w:id="26" w:name="agencycode8"/>
      <w:bookmarkEnd w:id="26"/>
      <w:r w:rsidRPr="00557C5B">
        <w:rPr>
          <w:rFonts w:eastAsia="Calibri"/>
        </w:rPr>
        <w:t>MDOT may begin acceptance testing.</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1.4</w:t>
      </w:r>
      <w:r w:rsidRPr="00557C5B">
        <w:rPr>
          <w:rFonts w:eastAsia="Calibri"/>
          <w:b/>
        </w:rPr>
        <w:tab/>
        <w:t>“Cloud Services” or “SaaS Services”</w:t>
      </w:r>
      <w:r w:rsidRPr="00557C5B">
        <w:rPr>
          <w:rFonts w:eastAsia="Calibri"/>
        </w:rPr>
        <w:t xml:space="preserve"> means those services related  to Licensor’s private cloud environment provided to </w:t>
      </w:r>
      <w:bookmarkStart w:id="27" w:name="agencycode9"/>
      <w:bookmarkEnd w:id="27"/>
      <w:r w:rsidRPr="00557C5B">
        <w:rPr>
          <w:rFonts w:eastAsia="Calibri"/>
        </w:rPr>
        <w:t>MDOT,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1.5</w:t>
      </w:r>
      <w:r w:rsidRPr="00557C5B">
        <w:rPr>
          <w:rFonts w:eastAsia="Calibri"/>
          <w:b/>
          <w:bCs/>
        </w:rPr>
        <w:tab/>
        <w:t>“Content”</w:t>
      </w:r>
      <w:r w:rsidRPr="00557C5B">
        <w:rPr>
          <w:rFonts w:eastAsia="Calibri"/>
        </w:rPr>
        <w:t xml:space="preserve"> means any content </w:t>
      </w:r>
      <w:bookmarkStart w:id="28" w:name="agencycode10"/>
      <w:bookmarkEnd w:id="28"/>
      <w:r w:rsidRPr="00557C5B">
        <w:rPr>
          <w:rFonts w:eastAsia="Calibri"/>
        </w:rPr>
        <w:t xml:space="preserve">MDOT or Active Users post or otherwise input into the Services.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1.6</w:t>
      </w:r>
      <w:r w:rsidRPr="00557C5B">
        <w:rPr>
          <w:rFonts w:eastAsia="Calibri"/>
          <w:b/>
          <w:bCs/>
        </w:rPr>
        <w:tab/>
        <w:t xml:space="preserve"> “Documentation”</w:t>
      </w:r>
      <w:r w:rsidRPr="00557C5B">
        <w:rPr>
          <w:rFonts w:eastAsia="Calibri"/>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1.7</w:t>
      </w:r>
      <w:r w:rsidRPr="00557C5B">
        <w:rPr>
          <w:rFonts w:eastAsia="Calibri"/>
          <w:b/>
          <w:bCs/>
        </w:rPr>
        <w:tab/>
        <w:t xml:space="preserve">“Initial Term” </w:t>
      </w:r>
      <w:r w:rsidRPr="00557C5B">
        <w:rPr>
          <w:rFonts w:eastAsia="Calibri"/>
        </w:rPr>
        <w:t xml:space="preserve">means the </w:t>
      </w:r>
      <w:bookmarkStart w:id="29" w:name="lengthofterm"/>
      <w:bookmarkEnd w:id="29"/>
      <w:r w:rsidRPr="00557C5B">
        <w:rPr>
          <w:rFonts w:eastAsia="Calibri"/>
        </w:rPr>
        <w:t xml:space="preserve">three (3) year term of Services as indicated in Article 2. </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1.8</w:t>
      </w:r>
      <w:r w:rsidRPr="00557C5B">
        <w:rPr>
          <w:rFonts w:eastAsia="Calibri"/>
          <w:b/>
          <w:bCs/>
        </w:rPr>
        <w:tab/>
        <w:t>“Licensee”</w:t>
      </w:r>
      <w:r w:rsidRPr="00557C5B">
        <w:rPr>
          <w:rFonts w:eastAsia="Calibri"/>
        </w:rPr>
        <w:t xml:space="preserve"> means the </w:t>
      </w:r>
      <w:bookmarkStart w:id="30" w:name="agencyname2"/>
      <w:bookmarkEnd w:id="30"/>
      <w:r w:rsidRPr="00557C5B">
        <w:rPr>
          <w:rFonts w:eastAsia="Calibri"/>
        </w:rPr>
        <w:t xml:space="preserve">Mississippi Department of Transportation, its employees, and any third party consultants or outsourcers engaged by </w:t>
      </w:r>
      <w:bookmarkStart w:id="31" w:name="agencycode12"/>
      <w:bookmarkEnd w:id="31"/>
      <w:r w:rsidRPr="00557C5B">
        <w:rPr>
          <w:rFonts w:eastAsia="Calibri"/>
        </w:rPr>
        <w:t>MDOT who have a need to know and who shall be bound by the terms and conditions of this Agreement.</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1.9</w:t>
      </w:r>
      <w:r w:rsidRPr="00557C5B">
        <w:rPr>
          <w:rFonts w:eastAsia="Calibri"/>
          <w:b/>
          <w:bCs/>
        </w:rPr>
        <w:tab/>
        <w:t xml:space="preserve">“Licensor” </w:t>
      </w:r>
      <w:r w:rsidRPr="00557C5B">
        <w:rPr>
          <w:rFonts w:eastAsia="Calibri"/>
        </w:rPr>
        <w:t xml:space="preserve">means </w:t>
      </w:r>
      <w:bookmarkStart w:id="32" w:name="vendorname3"/>
      <w:bookmarkEnd w:id="32"/>
      <w:r>
        <w:rPr>
          <w:rFonts w:eastAsia="Calibri"/>
          <w:highlight w:val="yellow"/>
        </w:rPr>
        <w:t>BIDDER</w:t>
      </w:r>
      <w:r w:rsidRPr="00557C5B">
        <w:rPr>
          <w:rFonts w:eastAsia="Calibri"/>
          <w:highlight w:val="yellow"/>
        </w:rPr>
        <w:t xml:space="preserve"> NAME</w:t>
      </w:r>
      <w:r w:rsidRPr="00557C5B">
        <w:rPr>
          <w:rFonts w:eastAsia="Calibri"/>
        </w:rPr>
        <w:t>, and its successors and assigns.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1.10</w:t>
      </w:r>
      <w:r w:rsidRPr="00557C5B">
        <w:rPr>
          <w:rFonts w:eastAsia="Calibri"/>
          <w:b/>
        </w:rPr>
        <w:tab/>
        <w:t>“Personally Identifiable Information (“PII”)”</w:t>
      </w:r>
      <w:r w:rsidRPr="00557C5B">
        <w:rPr>
          <w:rFonts w:eastAsia="Calibri"/>
        </w:rPr>
        <w:t xml:space="preserve"> means information concerning individually identifiable Active Users that is protected against disclosure under applicable law or regulation.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1.11</w:t>
      </w:r>
      <w:r w:rsidRPr="00557C5B">
        <w:rPr>
          <w:rFonts w:eastAsia="Calibri"/>
          <w:b/>
          <w:bCs/>
        </w:rPr>
        <w:tab/>
        <w:t>“Services”</w:t>
      </w:r>
      <w:r w:rsidRPr="00557C5B">
        <w:rPr>
          <w:rFonts w:eastAsia="Calibri"/>
        </w:rPr>
        <w:t xml:space="preserve"> means any Cloud Services, on-line user access, customizations, interface development, consulting, education, SaaS installation, system administration, </w:t>
      </w:r>
      <w:proofErr w:type="gramStart"/>
      <w:r w:rsidRPr="00557C5B">
        <w:rPr>
          <w:rFonts w:eastAsia="Calibri"/>
        </w:rPr>
        <w:t>training</w:t>
      </w:r>
      <w:proofErr w:type="gramEnd"/>
      <w:r w:rsidRPr="00557C5B">
        <w:rPr>
          <w:rFonts w:eastAsia="Calibri"/>
        </w:rPr>
        <w:t>, maintenance, support, and Help Desk services provided by Licensor to Licensee.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1.12</w:t>
      </w:r>
      <w:r w:rsidRPr="00557C5B">
        <w:rPr>
          <w:rFonts w:eastAsia="Calibri"/>
          <w:b/>
          <w:bCs/>
        </w:rPr>
        <w:tab/>
        <w:t xml:space="preserve">“Supported Interfaces” </w:t>
      </w:r>
      <w:r w:rsidRPr="00557C5B">
        <w:rPr>
          <w:rFonts w:eastAsia="Calibri"/>
        </w:rPr>
        <w:t>means application-based interfaces (API), network protocols, data formats, database schemas, and file formats used in the Applications as described in the Documentation.</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2</w:t>
      </w:r>
      <w:r w:rsidRPr="00557C5B">
        <w:rPr>
          <w:rFonts w:eastAsia="Calibri"/>
          <w:b/>
          <w:bCs/>
        </w:rPr>
        <w:tab/>
        <w:t>PERIOD OF PERFORMANCE</w:t>
      </w:r>
    </w:p>
    <w:p w:rsidR="00557C5B" w:rsidRPr="00557C5B" w:rsidRDefault="00557C5B" w:rsidP="00557C5B">
      <w:pPr>
        <w:autoSpaceDE w:val="0"/>
        <w:autoSpaceDN w:val="0"/>
        <w:adjustRightInd w:val="0"/>
        <w:jc w:val="both"/>
        <w:rPr>
          <w:rFonts w:eastAsia="Calibri"/>
        </w:rPr>
      </w:pPr>
      <w:r w:rsidRPr="00557C5B">
        <w:rPr>
          <w:rFonts w:eastAsia="Calibri"/>
          <w:b/>
          <w:bCs/>
        </w:rPr>
        <w:t>2.1</w:t>
      </w:r>
      <w:r w:rsidRPr="00557C5B">
        <w:rPr>
          <w:rFonts w:eastAsia="Calibri"/>
        </w:rPr>
        <w:tab/>
        <w:t xml:space="preserve">Unless this Agreement is extended by mutual agreement or terminated as prescribed elsewhere herein, this Agreement shall begin on the date it is signed by all parties and shall continue in effect for </w:t>
      </w:r>
      <w:bookmarkStart w:id="33" w:name="lengthofterm1"/>
      <w:bookmarkEnd w:id="33"/>
      <w:r w:rsidRPr="00557C5B">
        <w:rPr>
          <w:rFonts w:eastAsia="Calibri"/>
        </w:rPr>
        <w:t xml:space="preserve">three (3) years thereafter (“Initial Term”). At the end of the Initial Term, the Agreement may, upon the written agreement of the parties, be renewed under the same terms and conditions for </w:t>
      </w:r>
      <w:r w:rsidRPr="00557C5B">
        <w:rPr>
          <w:rFonts w:eastAsia="Calibri"/>
        </w:rPr>
        <w:fldChar w:fldCharType="begin"/>
      </w:r>
      <w:r w:rsidRPr="00557C5B">
        <w:rPr>
          <w:rFonts w:eastAsia="Calibri"/>
        </w:rPr>
        <w:instrText xml:space="preserve"> ASK Renewal "Enter the number of possible renewal terms (Ex. two)" \* MERGEFORMAT </w:instrText>
      </w:r>
      <w:r w:rsidRPr="00557C5B">
        <w:rPr>
          <w:rFonts w:eastAsia="Calibri"/>
        </w:rPr>
        <w:fldChar w:fldCharType="separate"/>
      </w:r>
      <w:r w:rsidRPr="00557C5B">
        <w:rPr>
          <w:rFonts w:eastAsia="Calibri"/>
        </w:rPr>
        <w:t>INSERT RENEWAL TERMS</w:t>
      </w:r>
      <w:r w:rsidRPr="00557C5B">
        <w:rPr>
          <w:rFonts w:eastAsia="Calibri"/>
        </w:rPr>
        <w:fldChar w:fldCharType="end"/>
      </w:r>
      <w:r w:rsidRPr="00557C5B">
        <w:rPr>
          <w:rFonts w:eastAsia="Calibri"/>
        </w:rPr>
        <w:t xml:space="preserve">an additional term, the length of which will be agreed upon by the parties.  One hundred and eighty (180) days prior to the expiration of the Initial Term or any renewal term of this Agreement, Licensor shall notify </w:t>
      </w:r>
      <w:bookmarkStart w:id="34" w:name="agencycode13"/>
      <w:bookmarkEnd w:id="34"/>
      <w:r w:rsidRPr="00557C5B">
        <w:rPr>
          <w:rFonts w:eastAsia="Calibri"/>
        </w:rPr>
        <w:t xml:space="preserve">MDOT and ITS of the impending expiration and </w:t>
      </w:r>
      <w:bookmarkStart w:id="35" w:name="agencycode14"/>
      <w:bookmarkEnd w:id="35"/>
      <w:r w:rsidRPr="00557C5B">
        <w:rPr>
          <w:rFonts w:eastAsia="Calibri"/>
        </w:rPr>
        <w:t>MDOT shall have sixty (60) days in which to notify Licensor of its intention to either renew or cancel the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2.2</w:t>
      </w:r>
      <w:r w:rsidRPr="00557C5B">
        <w:rPr>
          <w:rFonts w:eastAsia="Calibri"/>
        </w:rPr>
        <w:tab/>
        <w:t xml:space="preserve">This Agreement will become a binding obligation on the State only upon the issuance of a valid purchase order by </w:t>
      </w:r>
      <w:bookmarkStart w:id="36" w:name="agencycode15"/>
      <w:bookmarkEnd w:id="36"/>
      <w:r w:rsidRPr="00557C5B">
        <w:rPr>
          <w:rFonts w:eastAsia="Calibri"/>
        </w:rPr>
        <w:t xml:space="preserve">MDOT following contract execution and the issuance by </w:t>
      </w:r>
      <w:proofErr w:type="gramStart"/>
      <w:r w:rsidRPr="00557C5B">
        <w:rPr>
          <w:rFonts w:eastAsia="Calibri"/>
        </w:rPr>
        <w:t>ITS</w:t>
      </w:r>
      <w:proofErr w:type="gramEnd"/>
      <w:r w:rsidRPr="00557C5B">
        <w:rPr>
          <w:rFonts w:eastAsia="Calibri"/>
        </w:rPr>
        <w:t xml:space="preserve"> of the CP-1 Acquisition Approval Document.</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lastRenderedPageBreak/>
        <w:t>ARTICLE 3</w:t>
      </w:r>
      <w:r w:rsidRPr="00557C5B">
        <w:rPr>
          <w:rFonts w:eastAsia="Calibri"/>
          <w:b/>
          <w:bCs/>
        </w:rPr>
        <w:tab/>
        <w:t>SCOPE OF SERVICES</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3.1</w:t>
      </w:r>
      <w:r w:rsidRPr="00557C5B">
        <w:rPr>
          <w:rFonts w:eastAsia="Calibri"/>
        </w:rPr>
        <w:tab/>
        <w:t xml:space="preserve">The Licensor agrees to provide to </w:t>
      </w:r>
      <w:bookmarkStart w:id="37" w:name="agencycode16"/>
      <w:bookmarkEnd w:id="37"/>
      <w:r w:rsidRPr="00557C5B">
        <w:rPr>
          <w:rFonts w:eastAsia="Calibri"/>
        </w:rPr>
        <w:t xml:space="preserve">MDOT a SaaS based </w:t>
      </w:r>
      <w:bookmarkStart w:id="38" w:name="descriptionofsystem1"/>
      <w:bookmarkEnd w:id="38"/>
      <w:r w:rsidRPr="00557C5B">
        <w:rPr>
          <w:rFonts w:eastAsia="Calibri"/>
        </w:rPr>
        <w:t>Mass Notification Management system and associated deliverables as described in this Agreement. While the scope of work for this project is defined by the contract documents set forth herein in the article titled “Entire Agreement”, a summary of such work is outlined in Article 3.2 below.</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3.2</w:t>
      </w:r>
      <w:r w:rsidRPr="00557C5B">
        <w:rPr>
          <w:rFonts w:eastAsia="Calibri"/>
        </w:rPr>
        <w:tab/>
        <w:t>Licensor shall be responsible for the following:</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Ensuring that all deliverables are complete and accepted by </w:t>
      </w:r>
      <w:bookmarkStart w:id="39" w:name="agencycode17"/>
      <w:bookmarkEnd w:id="39"/>
      <w:r w:rsidRPr="00557C5B">
        <w:rPr>
          <w:rFonts w:eastAsia="Calibri"/>
        </w:rPr>
        <w:t>MDOT pursuant to a mutually agreed upon project work plan;</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Tracking date sensitive items to ensure timely updates;</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Acknowledging that the Content is and shall remain the sole and exclusive property of </w:t>
      </w:r>
      <w:bookmarkStart w:id="40" w:name="agencycode18"/>
      <w:bookmarkEnd w:id="40"/>
      <w:r w:rsidRPr="00557C5B">
        <w:rPr>
          <w:rFonts w:eastAsia="Calibri"/>
        </w:rPr>
        <w:t xml:space="preserve">MDOT.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41" w:name="agencycode19"/>
      <w:bookmarkEnd w:id="41"/>
      <w:r w:rsidRPr="00557C5B">
        <w:rPr>
          <w:rFonts w:eastAsia="Calibri"/>
        </w:rPr>
        <w:t xml:space="preserve">MDOT pursuant to a mutually agreed upon release schedule and in a format acceptable to </w:t>
      </w:r>
      <w:bookmarkStart w:id="42" w:name="agencycode20"/>
      <w:bookmarkEnd w:id="42"/>
      <w:r w:rsidRPr="00557C5B">
        <w:rPr>
          <w:rFonts w:eastAsia="Calibri"/>
        </w:rPr>
        <w:t>MDOT;</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Working with </w:t>
      </w:r>
      <w:bookmarkStart w:id="43" w:name="agencycode21"/>
      <w:bookmarkEnd w:id="43"/>
      <w:r w:rsidRPr="00557C5B">
        <w:rPr>
          <w:rFonts w:eastAsia="Calibri"/>
        </w:rPr>
        <w:t xml:space="preserve">MDOT to achieve access rates that meet </w:t>
      </w:r>
      <w:bookmarkStart w:id="44" w:name="agencycode22"/>
      <w:bookmarkEnd w:id="44"/>
      <w:r w:rsidRPr="00557C5B">
        <w:rPr>
          <w:rFonts w:eastAsia="Calibri"/>
        </w:rPr>
        <w:t>MDOT</w:t>
      </w:r>
      <w:r w:rsidRPr="00557C5B">
        <w:rPr>
          <w:rFonts w:eastAsia="Calibri"/>
          <w:bCs/>
        </w:rPr>
        <w:t>’s</w:t>
      </w:r>
      <w:r w:rsidRPr="00557C5B">
        <w:rPr>
          <w:rFonts w:eastAsia="Calibri"/>
        </w:rPr>
        <w:t xml:space="preserve"> needs;</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Providing security for the site that is agreeable to </w:t>
      </w:r>
      <w:bookmarkStart w:id="45" w:name="agencycode23"/>
      <w:bookmarkEnd w:id="45"/>
      <w:r w:rsidRPr="00557C5B">
        <w:rPr>
          <w:rFonts w:eastAsia="Calibri"/>
        </w:rPr>
        <w:t>MDOT with Licensor responsible for all necessary equipment and software related to security;</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Maintaining the accessibility of the site twenty-four (24) hours a day, seven (7) days a week at an uptime rate of 99% or greater, subject to the limitations set forth in this Agreement, including but not limited to, those in Article 4.4;</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Completing daily backups of the site;</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Notifying </w:t>
      </w:r>
      <w:bookmarkStart w:id="46" w:name="agencycode24"/>
      <w:bookmarkEnd w:id="46"/>
      <w:r w:rsidRPr="00557C5B">
        <w:rPr>
          <w:rFonts w:eastAsia="Calibri"/>
        </w:rPr>
        <w:t>MDOT at least three (3) business days prior to any anticipated service interruption, with said notice containing a general description of the reason for the service interruption;</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Proposing and adhering to a disaster recovery plan and providing access to such plan to the State, all at Licensor’s expense;</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Participating with </w:t>
      </w:r>
      <w:bookmarkStart w:id="47" w:name="agencycode25"/>
      <w:bookmarkEnd w:id="47"/>
      <w:r w:rsidRPr="00557C5B">
        <w:rPr>
          <w:rFonts w:eastAsia="Calibri"/>
        </w:rPr>
        <w:t>MDOT in disaster recovery planning and testing based on a mutually agreed upon schedule;</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Maintaining the confidentiality of the information entered;</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Providing </w:t>
      </w:r>
      <w:bookmarkStart w:id="48" w:name="agencycode26"/>
      <w:bookmarkEnd w:id="48"/>
      <w:r w:rsidRPr="00557C5B">
        <w:rPr>
          <w:rFonts w:eastAsia="Calibri"/>
        </w:rPr>
        <w:t xml:space="preserve">MDOT access to all of the technical information concerning operation of the  </w:t>
      </w:r>
      <w:bookmarkStart w:id="49" w:name="descriptionofsystem2"/>
      <w:bookmarkEnd w:id="49"/>
      <w:r w:rsidRPr="00557C5B">
        <w:rPr>
          <w:rFonts w:eastAsia="Calibri"/>
        </w:rPr>
        <w:t>Mass Notification Management system, including but not limited to, server specifications, Internet connection information, personnel requirements and software implementations;</w:t>
      </w:r>
    </w:p>
    <w:p w:rsidR="00557C5B" w:rsidRPr="00557C5B" w:rsidRDefault="00557C5B" w:rsidP="00557C5B">
      <w:pPr>
        <w:widowControl w:val="0"/>
        <w:numPr>
          <w:ilvl w:val="0"/>
          <w:numId w:val="42"/>
        </w:numPr>
        <w:autoSpaceDE w:val="0"/>
        <w:autoSpaceDN w:val="0"/>
        <w:adjustRightInd w:val="0"/>
        <w:jc w:val="both"/>
        <w:rPr>
          <w:rFonts w:eastAsia="Calibri"/>
        </w:rPr>
      </w:pPr>
      <w:r w:rsidRPr="00557C5B">
        <w:rPr>
          <w:rFonts w:eastAsia="Calibri"/>
        </w:rPr>
        <w:t xml:space="preserve">Identifying any commercially available software, by </w:t>
      </w:r>
      <w:r>
        <w:rPr>
          <w:rFonts w:eastAsia="Calibri"/>
        </w:rPr>
        <w:t>Bidder</w:t>
      </w:r>
      <w:r w:rsidRPr="00557C5B">
        <w:rPr>
          <w:rFonts w:eastAsia="Calibri"/>
        </w:rPr>
        <w:t xml:space="preserve"> and version number, integrated into the Applications and describing the particular functionality of any software that is proprietary to the Licensor;</w:t>
      </w:r>
    </w:p>
    <w:p w:rsidR="00557C5B" w:rsidRPr="00557C5B" w:rsidRDefault="00557C5B" w:rsidP="00557C5B">
      <w:pPr>
        <w:widowControl w:val="0"/>
        <w:numPr>
          <w:ilvl w:val="0"/>
          <w:numId w:val="42"/>
        </w:numPr>
        <w:autoSpaceDE w:val="0"/>
        <w:autoSpaceDN w:val="0"/>
        <w:adjustRightInd w:val="0"/>
        <w:jc w:val="both"/>
        <w:rPr>
          <w:rFonts w:eastAsia="Calibri"/>
          <w:b/>
          <w:bCs/>
        </w:rPr>
      </w:pPr>
      <w:r w:rsidRPr="00557C5B">
        <w:rPr>
          <w:rFonts w:eastAsia="Calibri"/>
        </w:rPr>
        <w:t xml:space="preserve">Maintaining the host site, with the cost for such support, maintenance, and hosting for years following the initial </w:t>
      </w:r>
      <w:bookmarkStart w:id="50" w:name="lengthofterm2"/>
      <w:bookmarkEnd w:id="50"/>
      <w:r w:rsidRPr="00557C5B">
        <w:rPr>
          <w:rFonts w:eastAsia="Calibri"/>
        </w:rPr>
        <w:t>3 year period not increasing annually beyond three percent (3%) or the percent increase in the consumer price index for all Urban Consumers, US City Average (C.P.I.-U) for the preceding year, whichever is less;</w:t>
      </w:r>
    </w:p>
    <w:p w:rsidR="00557C5B" w:rsidRPr="00557C5B" w:rsidRDefault="00557C5B" w:rsidP="00557C5B">
      <w:pPr>
        <w:widowControl w:val="0"/>
        <w:numPr>
          <w:ilvl w:val="0"/>
          <w:numId w:val="42"/>
        </w:numPr>
        <w:autoSpaceDE w:val="0"/>
        <w:autoSpaceDN w:val="0"/>
        <w:adjustRightInd w:val="0"/>
        <w:jc w:val="both"/>
        <w:rPr>
          <w:rFonts w:eastAsia="Calibri"/>
          <w:b/>
          <w:bCs/>
        </w:rPr>
      </w:pPr>
      <w:r w:rsidRPr="00557C5B">
        <w:rPr>
          <w:rFonts w:eastAsia="Calibri"/>
        </w:rPr>
        <w:t>Providing 24x7x365 support of the site;</w:t>
      </w:r>
    </w:p>
    <w:p w:rsidR="00557C5B" w:rsidRPr="00557C5B" w:rsidRDefault="00557C5B" w:rsidP="00557C5B">
      <w:pPr>
        <w:widowControl w:val="0"/>
        <w:numPr>
          <w:ilvl w:val="0"/>
          <w:numId w:val="42"/>
        </w:numPr>
        <w:autoSpaceDE w:val="0"/>
        <w:autoSpaceDN w:val="0"/>
        <w:adjustRightInd w:val="0"/>
        <w:jc w:val="both"/>
        <w:rPr>
          <w:rFonts w:eastAsia="Calibri"/>
          <w:b/>
          <w:bCs/>
        </w:rPr>
      </w:pPr>
      <w:r w:rsidRPr="00557C5B">
        <w:rPr>
          <w:rFonts w:eastAsia="Calibri"/>
        </w:rPr>
        <w:t>Providing redundant internet connections;</w:t>
      </w:r>
      <w:r w:rsidRPr="00557C5B" w:rsidDel="00944E39">
        <w:rPr>
          <w:rFonts w:eastAsia="Calibri"/>
          <w:b/>
          <w:bCs/>
        </w:rPr>
        <w:t xml:space="preserve"> </w:t>
      </w:r>
    </w:p>
    <w:p w:rsidR="00557C5B" w:rsidRPr="00557C5B" w:rsidRDefault="00557C5B" w:rsidP="00557C5B">
      <w:pPr>
        <w:widowControl w:val="0"/>
        <w:numPr>
          <w:ilvl w:val="0"/>
          <w:numId w:val="42"/>
        </w:numPr>
        <w:autoSpaceDE w:val="0"/>
        <w:autoSpaceDN w:val="0"/>
        <w:adjustRightInd w:val="0"/>
        <w:jc w:val="both"/>
        <w:rPr>
          <w:rFonts w:eastAsia="Calibri"/>
          <w:b/>
          <w:bCs/>
        </w:rPr>
      </w:pPr>
      <w:r w:rsidRPr="00557C5B">
        <w:rPr>
          <w:rFonts w:eastAsia="Calibri"/>
        </w:rPr>
        <w:t>Providing Transport Layer Security (“TLS”) secure server support;</w:t>
      </w:r>
    </w:p>
    <w:p w:rsidR="00557C5B" w:rsidRPr="00557C5B" w:rsidRDefault="00557C5B" w:rsidP="00557C5B">
      <w:pPr>
        <w:widowControl w:val="0"/>
        <w:numPr>
          <w:ilvl w:val="0"/>
          <w:numId w:val="42"/>
        </w:numPr>
        <w:autoSpaceDE w:val="0"/>
        <w:autoSpaceDN w:val="0"/>
        <w:adjustRightInd w:val="0"/>
        <w:jc w:val="both"/>
        <w:rPr>
          <w:rFonts w:eastAsia="Calibri"/>
          <w:b/>
          <w:bCs/>
        </w:rPr>
      </w:pPr>
      <w:r w:rsidRPr="00557C5B">
        <w:rPr>
          <w:rFonts w:eastAsia="Calibri"/>
        </w:rPr>
        <w:t xml:space="preserve">Maintaining sufficient bandwidth and server capacity to meet </w:t>
      </w:r>
      <w:bookmarkStart w:id="51" w:name="agencycode27"/>
      <w:bookmarkEnd w:id="51"/>
      <w:r w:rsidRPr="00557C5B">
        <w:rPr>
          <w:rFonts w:eastAsia="Calibri"/>
        </w:rPr>
        <w:t>MDOT</w:t>
      </w:r>
      <w:r w:rsidRPr="00557C5B">
        <w:rPr>
          <w:rFonts w:eastAsia="Calibri"/>
          <w:bCs/>
        </w:rPr>
        <w:t>’s</w:t>
      </w:r>
      <w:r w:rsidRPr="00557C5B">
        <w:rPr>
          <w:rFonts w:eastAsia="Calibri"/>
        </w:rPr>
        <w:t xml:space="preserve"> and Active Users’ demand as it may fluctuate and increase during the term of this Agreement, and;</w:t>
      </w:r>
    </w:p>
    <w:p w:rsidR="00557C5B" w:rsidRPr="00557C5B" w:rsidRDefault="00557C5B" w:rsidP="00557C5B">
      <w:pPr>
        <w:widowControl w:val="0"/>
        <w:numPr>
          <w:ilvl w:val="0"/>
          <w:numId w:val="42"/>
        </w:numPr>
        <w:autoSpaceDE w:val="0"/>
        <w:autoSpaceDN w:val="0"/>
        <w:adjustRightInd w:val="0"/>
        <w:jc w:val="both"/>
        <w:rPr>
          <w:rFonts w:eastAsia="Calibri"/>
          <w:bCs/>
        </w:rPr>
      </w:pPr>
      <w:r w:rsidRPr="00557C5B">
        <w:rPr>
          <w:rFonts w:eastAsia="Calibri"/>
          <w:bCs/>
        </w:rPr>
        <w:lastRenderedPageBreak/>
        <w:t>Ensuring that all Licensee data remains within the continental United States;</w:t>
      </w:r>
    </w:p>
    <w:p w:rsidR="00557C5B" w:rsidRPr="00557C5B" w:rsidRDefault="00557C5B" w:rsidP="00557C5B">
      <w:pPr>
        <w:widowControl w:val="0"/>
        <w:numPr>
          <w:ilvl w:val="0"/>
          <w:numId w:val="42"/>
        </w:numPr>
        <w:autoSpaceDE w:val="0"/>
        <w:autoSpaceDN w:val="0"/>
        <w:adjustRightInd w:val="0"/>
        <w:jc w:val="both"/>
        <w:rPr>
          <w:rFonts w:eastAsia="Calibri"/>
          <w:b/>
          <w:bCs/>
        </w:rPr>
      </w:pPr>
      <w:r w:rsidRPr="00557C5B">
        <w:rPr>
          <w:rFonts w:eastAsia="Calibri"/>
          <w:bCs/>
        </w:rPr>
        <w:t>Partitioning Licensee’s data from other customer data so Licensee’s access is not impaired due to e-discovery, seizure, or the like, and</w:t>
      </w:r>
    </w:p>
    <w:p w:rsidR="00557C5B" w:rsidRPr="00557C5B" w:rsidRDefault="00557C5B" w:rsidP="00557C5B">
      <w:pPr>
        <w:widowControl w:val="0"/>
        <w:numPr>
          <w:ilvl w:val="0"/>
          <w:numId w:val="42"/>
        </w:numPr>
        <w:autoSpaceDE w:val="0"/>
        <w:autoSpaceDN w:val="0"/>
        <w:adjustRightInd w:val="0"/>
        <w:jc w:val="both"/>
        <w:rPr>
          <w:rFonts w:eastAsia="Calibri"/>
          <w:b/>
          <w:bCs/>
        </w:rPr>
      </w:pPr>
      <w:r w:rsidRPr="00557C5B">
        <w:rPr>
          <w:rFonts w:eastAsia="Calibri"/>
        </w:rPr>
        <w:t xml:space="preserve">Ensuring that upon termination or expiration of this Agreement that transition from the Licensor to </w:t>
      </w:r>
      <w:bookmarkStart w:id="52" w:name="agencycode28"/>
      <w:bookmarkEnd w:id="52"/>
      <w:r w:rsidRPr="00557C5B">
        <w:rPr>
          <w:rFonts w:eastAsia="Calibri"/>
        </w:rPr>
        <w:t xml:space="preserve">MDOT or to a successor host will be accomplished at no expense to </w:t>
      </w:r>
      <w:bookmarkStart w:id="53" w:name="agencycode29"/>
      <w:bookmarkEnd w:id="53"/>
      <w:r w:rsidRPr="00557C5B">
        <w:rPr>
          <w:rFonts w:eastAsia="Calibri"/>
        </w:rPr>
        <w:t>MDOT.</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b/>
        </w:rPr>
      </w:pPr>
      <w:r w:rsidRPr="00557C5B">
        <w:rPr>
          <w:rFonts w:eastAsia="Calibri"/>
          <w:b/>
        </w:rPr>
        <w:t>3.3</w:t>
      </w:r>
      <w:r w:rsidRPr="00557C5B">
        <w:rPr>
          <w:rFonts w:eastAsia="Calibri"/>
        </w:rPr>
        <w:tab/>
      </w:r>
      <w:r w:rsidRPr="00557C5B">
        <w:rPr>
          <w:rFonts w:eastAsia="Calibri"/>
          <w:bCs/>
        </w:rPr>
        <w:t>In the event</w:t>
      </w:r>
      <w:r w:rsidRPr="00557C5B">
        <w:rPr>
          <w:rFonts w:eastAsia="Calibri"/>
        </w:rPr>
        <w:t xml:space="preserve"> Licensor creates any revisions to or upgrades of the system, Licensor shall provide </w:t>
      </w:r>
      <w:bookmarkStart w:id="54" w:name="agencycode30"/>
      <w:bookmarkEnd w:id="54"/>
      <w:r w:rsidRPr="00557C5B">
        <w:rPr>
          <w:rFonts w:eastAsia="Calibri"/>
        </w:rPr>
        <w:t xml:space="preserve">MDOT thirty (30) days written notification of such revision or upgrade, and shall, upon request of </w:t>
      </w:r>
      <w:bookmarkStart w:id="55" w:name="agencycode31"/>
      <w:bookmarkEnd w:id="55"/>
      <w:r w:rsidRPr="00557C5B">
        <w:rPr>
          <w:rFonts w:eastAsia="Calibri"/>
        </w:rPr>
        <w:t xml:space="preserve">MDOT, furnish such revision or upgrade to </w:t>
      </w:r>
      <w:bookmarkStart w:id="56" w:name="agencycode32"/>
      <w:bookmarkEnd w:id="56"/>
      <w:r w:rsidRPr="00557C5B">
        <w:rPr>
          <w:rFonts w:eastAsia="Calibri"/>
        </w:rPr>
        <w:t>MDOT free of charge as part of the SaaS fees.</w:t>
      </w:r>
    </w:p>
    <w:p w:rsidR="00557C5B" w:rsidRPr="00557C5B" w:rsidRDefault="00557C5B" w:rsidP="00557C5B">
      <w:pPr>
        <w:keepNext/>
        <w:widowControl w:val="0"/>
        <w:autoSpaceDE w:val="0"/>
        <w:autoSpaceDN w:val="0"/>
        <w:adjustRightInd w:val="0"/>
        <w:jc w:val="both"/>
        <w:outlineLvl w:val="0"/>
        <w:rPr>
          <w:rFonts w:eastAsia="Calibri"/>
          <w:b/>
          <w:bCs/>
        </w:rPr>
      </w:pP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ARTICLE 4</w:t>
      </w:r>
      <w:r w:rsidRPr="00557C5B">
        <w:rPr>
          <w:rFonts w:eastAsia="Calibri"/>
          <w:b/>
          <w:bCs/>
        </w:rPr>
        <w:tab/>
        <w:t xml:space="preserve">SCOPE OF LICENSE AND RIGHT TO USE </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4.1</w:t>
      </w:r>
      <w:r w:rsidRPr="00557C5B">
        <w:rPr>
          <w:rFonts w:eastAsia="Calibri"/>
          <w:b/>
          <w:bCs/>
        </w:rPr>
        <w:tab/>
      </w:r>
      <w:r w:rsidRPr="00557C5B">
        <w:rPr>
          <w:rFonts w:eastAsia="Calibri"/>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4.2</w:t>
      </w:r>
      <w:r w:rsidRPr="00557C5B">
        <w:rPr>
          <w:rFonts w:eastAsia="Calibri"/>
          <w:b/>
          <w:bCs/>
        </w:rPr>
        <w:tab/>
      </w:r>
      <w:r w:rsidRPr="00557C5B">
        <w:rPr>
          <w:rFonts w:eastAsia="Calibri"/>
        </w:rPr>
        <w:t>Licensor will provide Licensee storage space on and access to Licensor’s Applications via the Internet and provide Internet access to the Applications and Cloud Services to the Active Users through Licensor’s site (“SaaS Services”).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4.3</w:t>
      </w:r>
      <w:r w:rsidRPr="00557C5B">
        <w:rPr>
          <w:rFonts w:eastAsia="Calibri"/>
          <w:b/>
          <w:bCs/>
        </w:rPr>
        <w:tab/>
      </w:r>
      <w:r w:rsidRPr="00557C5B">
        <w:rPr>
          <w:rFonts w:eastAsia="Calibri"/>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4.4</w:t>
      </w:r>
      <w:r w:rsidRPr="00557C5B">
        <w:rPr>
          <w:rFonts w:eastAsia="Calibri"/>
          <w:b/>
          <w:bCs/>
        </w:rPr>
        <w:tab/>
      </w:r>
      <w:r w:rsidRPr="00557C5B">
        <w:rPr>
          <w:rFonts w:eastAsia="Calibri"/>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In the event that </w:t>
      </w:r>
      <w:bookmarkStart w:id="57" w:name="agencycode33"/>
      <w:bookmarkEnd w:id="57"/>
      <w:r w:rsidRPr="00557C5B">
        <w:rPr>
          <w:rFonts w:eastAsia="Calibri"/>
        </w:rPr>
        <w:t xml:space="preserve">MDOT or an Active User is unable to achieve the 99% application availability during any given month, excluding scheduled maintenance, required repairs, and unavailability due to causes beyond the control of Licensor, the Licensor shall reimburse </w:t>
      </w:r>
      <w:bookmarkStart w:id="58" w:name="agencycode34"/>
      <w:bookmarkEnd w:id="58"/>
      <w:r w:rsidRPr="00557C5B">
        <w:rPr>
          <w:rFonts w:eastAsia="Calibri"/>
        </w:rPr>
        <w:t xml:space="preserve">MDOT twenty-five percent (25%) of the monthly SaaS hosting fees for each twenty-four (24) hour day during which there were any incidents of unavailability. Licensor shall maintain the server at a secured </w:t>
      </w:r>
      <w:proofErr w:type="spellStart"/>
      <w:r w:rsidR="009A0EB9">
        <w:rPr>
          <w:rFonts w:eastAsia="Calibri"/>
        </w:rPr>
        <w:t>Bid</w:t>
      </w:r>
      <w:r w:rsidRPr="00557C5B">
        <w:rPr>
          <w:rFonts w:eastAsia="Calibri"/>
        </w:rPr>
        <w:t>ation</w:t>
      </w:r>
      <w:proofErr w:type="spellEnd"/>
      <w:r w:rsidRPr="00557C5B">
        <w:rPr>
          <w:rFonts w:eastAsia="Calibri"/>
        </w:rPr>
        <w:t xml:space="preserve"> with restricted access.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4.5</w:t>
      </w:r>
      <w:r w:rsidRPr="00557C5B">
        <w:rPr>
          <w:rFonts w:eastAsia="Calibri"/>
          <w:b/>
          <w:bCs/>
        </w:rPr>
        <w:tab/>
      </w:r>
      <w:r w:rsidRPr="00557C5B">
        <w:rPr>
          <w:rFonts w:eastAsia="Calibri"/>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rPr>
      </w:pPr>
      <w:r w:rsidRPr="00557C5B">
        <w:rPr>
          <w:rFonts w:eastAsia="Calibri"/>
          <w:b/>
          <w:bCs/>
        </w:rPr>
        <w:t>4.6</w:t>
      </w:r>
      <w:r w:rsidRPr="00557C5B">
        <w:rPr>
          <w:rFonts w:eastAsia="Calibri"/>
        </w:rPr>
        <w:tab/>
        <w:t xml:space="preserve"> The use of the Services by Active Users will be governed solely by the terms and conditions of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rPr>
      </w:pPr>
      <w:r w:rsidRPr="00557C5B">
        <w:rPr>
          <w:rFonts w:eastAsia="Calibri"/>
          <w:b/>
          <w:bCs/>
        </w:rPr>
        <w:t>4.7</w:t>
      </w:r>
      <w:r w:rsidRPr="00557C5B">
        <w:rPr>
          <w:rFonts w:eastAsia="Calibri"/>
        </w:rPr>
        <w:tab/>
        <w:t xml:space="preserve"> </w:t>
      </w:r>
      <w:bookmarkStart w:id="59" w:name="agencycode35"/>
      <w:bookmarkEnd w:id="59"/>
      <w:r w:rsidRPr="00557C5B">
        <w:rPr>
          <w:rFonts w:eastAsia="Calibri"/>
        </w:rPr>
        <w:t xml:space="preserve">MDOT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60" w:name="agencycode36"/>
      <w:bookmarkEnd w:id="60"/>
      <w:r w:rsidRPr="00557C5B">
        <w:rPr>
          <w:rFonts w:eastAsia="Calibri"/>
        </w:rPr>
        <w:t xml:space="preserve">MDOT, </w:t>
      </w:r>
      <w:bookmarkStart w:id="61" w:name="agencycode37"/>
      <w:bookmarkEnd w:id="61"/>
      <w:r w:rsidRPr="00557C5B">
        <w:rPr>
          <w:rFonts w:eastAsia="Calibri"/>
        </w:rPr>
        <w:t xml:space="preserve">MDOT shall not obtain or claim any rights in or ownership interest to the Services or Applications or any associated intellectual property rights in any of the foregoing.  </w:t>
      </w:r>
      <w:bookmarkStart w:id="62" w:name="agencycode38"/>
      <w:bookmarkEnd w:id="62"/>
      <w:r w:rsidRPr="00557C5B">
        <w:rPr>
          <w:rFonts w:eastAsia="Calibri"/>
        </w:rPr>
        <w:t xml:space="preserve">MDOT agrees to comply with all copyright and other intellectual property rights notices contained on or in any information obtained or accessed by </w:t>
      </w:r>
      <w:bookmarkStart w:id="63" w:name="agencycode39"/>
      <w:bookmarkEnd w:id="63"/>
      <w:r w:rsidRPr="00557C5B">
        <w:rPr>
          <w:rFonts w:eastAsia="Calibri"/>
        </w:rPr>
        <w:t xml:space="preserve">MDOT through the Services.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5</w:t>
      </w:r>
      <w:r w:rsidRPr="00557C5B">
        <w:rPr>
          <w:rFonts w:eastAsia="Calibri"/>
          <w:b/>
          <w:bCs/>
        </w:rPr>
        <w:tab/>
        <w:t>ACCEPTANCE</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5.1</w:t>
      </w:r>
      <w:r w:rsidRPr="00557C5B">
        <w:rPr>
          <w:rFonts w:eastAsia="Calibri"/>
        </w:rPr>
        <w:tab/>
        <w:t>Licensor shall make the Applications and Documentation available through its Services pursuant to the delivery schedule mutually agreed to by the parties.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5.2</w:t>
      </w:r>
      <w:r w:rsidRPr="00557C5B">
        <w:rPr>
          <w:rFonts w:eastAsia="Calibri"/>
        </w:rPr>
        <w:tab/>
      </w:r>
      <w:bookmarkStart w:id="64" w:name="agencycode40"/>
      <w:bookmarkEnd w:id="64"/>
      <w:r w:rsidRPr="00557C5B">
        <w:rPr>
          <w:rFonts w:eastAsia="Calibri"/>
        </w:rPr>
        <w:t xml:space="preserve">MDOT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65" w:name="agencycode41"/>
      <w:bookmarkEnd w:id="65"/>
      <w:r w:rsidRPr="00557C5B">
        <w:rPr>
          <w:rFonts w:eastAsia="Calibri"/>
        </w:rPr>
        <w:t xml:space="preserve">MDOT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66" w:name="agencycode42"/>
      <w:bookmarkEnd w:id="66"/>
      <w:r w:rsidRPr="00557C5B">
        <w:rPr>
          <w:rFonts w:eastAsia="Calibri"/>
        </w:rPr>
        <w:t xml:space="preserve">MDOT shall have an additional thirty (30) calendar days to evaluate the Applications and Services. In the event Licensor is unable to repair the defect within this ten (10) day period, </w:t>
      </w:r>
      <w:bookmarkStart w:id="67" w:name="agencycode43"/>
      <w:bookmarkEnd w:id="67"/>
      <w:r w:rsidRPr="00557C5B">
        <w:rPr>
          <w:rFonts w:eastAsia="Calibri"/>
        </w:rPr>
        <w:t xml:space="preserve">MDOT may terminate this Agreement pursuant to the Termination Article herein.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6</w:t>
      </w:r>
      <w:r w:rsidRPr="00557C5B">
        <w:rPr>
          <w:rFonts w:eastAsia="Calibri"/>
          <w:b/>
          <w:bCs/>
        </w:rPr>
        <w:tab/>
        <w:t>CONSIDERATION AND METHOD OF PAYMENT</w:t>
      </w: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6.1</w:t>
      </w:r>
      <w:r w:rsidRPr="00557C5B">
        <w:rPr>
          <w:rFonts w:eastAsia="Calibri"/>
          <w:b/>
          <w:bCs/>
        </w:rPr>
        <w:tab/>
      </w:r>
      <w:r w:rsidRPr="00557C5B">
        <w:rPr>
          <w:rFonts w:eastAsia="Calibri"/>
        </w:rPr>
        <w:t xml:space="preserve">The total compensation to be paid to the Licensor by </w:t>
      </w:r>
      <w:bookmarkStart w:id="68" w:name="agencycode44"/>
      <w:bookmarkEnd w:id="68"/>
      <w:r w:rsidRPr="00557C5B">
        <w:rPr>
          <w:rFonts w:eastAsia="Calibri"/>
        </w:rPr>
        <w:t xml:space="preserve">MDOT for all Applications, development, maintenance and SaaS Services, customizations, products, travel, performances and expenses under this Agreement shall not exceed the specified sum of  </w:t>
      </w:r>
      <w:bookmarkStart w:id="69" w:name="specifiedsum"/>
      <w:bookmarkEnd w:id="69"/>
      <w:r w:rsidRPr="00557C5B">
        <w:rPr>
          <w:rFonts w:eastAsia="Calibri"/>
          <w:highlight w:val="yellow"/>
        </w:rPr>
        <w:t>$INSERT TOTAL COMPENSATION</w:t>
      </w:r>
      <w:r w:rsidRPr="00557C5B">
        <w:rPr>
          <w:rFonts w:eastAsia="Calibri"/>
        </w:rPr>
        <w:t>, and shall be payable as set forth in the Payment Schedule attached hereto as Exhibit A.</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6.2</w:t>
      </w:r>
      <w:r w:rsidRPr="00557C5B">
        <w:rPr>
          <w:rFonts w:eastAsia="Calibri"/>
        </w:rPr>
        <w:tab/>
        <w:t xml:space="preserve">Licensor shall submit invoices with the appropriate documentation to </w:t>
      </w:r>
      <w:bookmarkStart w:id="70" w:name="agencycode45"/>
      <w:bookmarkEnd w:id="70"/>
      <w:r w:rsidRPr="00557C5B">
        <w:rPr>
          <w:rFonts w:eastAsia="Calibri"/>
        </w:rPr>
        <w:t xml:space="preserve">MDOT monthly for any month in which SaaS Services and/or other services are rendered. Licensor shall submit invoices and supporting documentation to </w:t>
      </w:r>
      <w:bookmarkStart w:id="71" w:name="agencycode46"/>
      <w:bookmarkEnd w:id="71"/>
      <w:r w:rsidRPr="00557C5B">
        <w:rPr>
          <w:rFonts w:eastAsia="Calibri"/>
        </w:rPr>
        <w:t xml:space="preserve">MDOT electronically during the term of this Agreement using the processes and procedures identified by the State. </w:t>
      </w:r>
      <w:bookmarkStart w:id="72" w:name="agencycode47"/>
      <w:bookmarkEnd w:id="72"/>
      <w:r w:rsidRPr="00557C5B">
        <w:rPr>
          <w:rFonts w:eastAsia="Calibri"/>
        </w:rPr>
        <w:t xml:space="preserve">MDOT agrees to make payment in accordance with Mississippi law on “Timely Payments for Purchases by Public Bodies”, Section 31-7-301, et seq. of the 1972 Mississippi Code Annotated, as amended, which generally provides for payment of undisputed amounts by </w:t>
      </w:r>
      <w:bookmarkStart w:id="73" w:name="agencycode48"/>
      <w:bookmarkEnd w:id="73"/>
      <w:r w:rsidRPr="00557C5B">
        <w:rPr>
          <w:rFonts w:eastAsia="Calibri"/>
        </w:rPr>
        <w:t xml:space="preserve">MDOT within forty-five (45) days of receipt of the invoice. Licensor understands and agrees that </w:t>
      </w:r>
      <w:bookmarkStart w:id="74" w:name="agencycode49"/>
      <w:bookmarkEnd w:id="74"/>
      <w:r w:rsidRPr="00557C5B">
        <w:rPr>
          <w:rFonts w:eastAsia="Calibri"/>
        </w:rPr>
        <w:t>MDOT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6.3</w:t>
      </w:r>
      <w:r w:rsidRPr="00557C5B">
        <w:rPr>
          <w:rFonts w:eastAsia="Calibri"/>
        </w:rPr>
        <w:tab/>
        <w:t xml:space="preserve">Acceptance by the Licensor of the last payment due from </w:t>
      </w:r>
      <w:bookmarkStart w:id="75" w:name="agencycode50"/>
      <w:bookmarkEnd w:id="75"/>
      <w:r w:rsidRPr="00557C5B">
        <w:rPr>
          <w:rFonts w:eastAsia="Calibri"/>
        </w:rPr>
        <w:t xml:space="preserve">MDOT under this Agreement shall operate as a release of all claims for money against the State by the Licensor and any </w:t>
      </w:r>
      <w:r w:rsidRPr="00557C5B">
        <w:rPr>
          <w:rFonts w:eastAsia="Calibri"/>
        </w:rPr>
        <w:lastRenderedPageBreak/>
        <w:t xml:space="preserve">subcontractors or other persons supplying labor or materials used in the performance of the work under this Agreement.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7</w:t>
      </w:r>
      <w:r w:rsidRPr="00557C5B">
        <w:rPr>
          <w:rFonts w:eastAsia="Calibri"/>
          <w:b/>
          <w:bCs/>
        </w:rPr>
        <w:tab/>
        <w:t>WARRANTY</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7.1</w:t>
      </w:r>
      <w:r w:rsidRPr="00557C5B">
        <w:rPr>
          <w:rFonts w:eastAsia="Calibri"/>
        </w:rPr>
        <w:tab/>
        <w:t>Licensor represents and warrants that it has the right to license the Applications provided under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7.2</w:t>
      </w:r>
      <w:r w:rsidRPr="00557C5B">
        <w:rPr>
          <w:rFonts w:eastAsia="Calibri"/>
        </w:rPr>
        <w:tab/>
        <w:t xml:space="preserve">Licensor represents and warrants that the Applications provided by Licensor shall meet or exceed the minimum specifications set forth in IFB No. </w:t>
      </w:r>
      <w:bookmarkStart w:id="76" w:name="rfpnumber2"/>
      <w:bookmarkEnd w:id="76"/>
      <w:r w:rsidRPr="00557C5B">
        <w:rPr>
          <w:rFonts w:eastAsia="Calibri"/>
        </w:rPr>
        <w:t>4134 and Licensor’s Bid, as accepted by the State, in response thereto.</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7.3</w:t>
      </w:r>
      <w:r w:rsidRPr="00557C5B">
        <w:rPr>
          <w:rFonts w:eastAsia="Calibri"/>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77" w:name="agencycode51"/>
      <w:bookmarkEnd w:id="77"/>
      <w:r w:rsidRPr="00557C5B">
        <w:rPr>
          <w:rFonts w:eastAsia="Calibri"/>
        </w:rPr>
        <w:t xml:space="preserve">MDOT consents in writing to a longer period of repair time. In the event Licensor is unable to repair or replace the Application within the mutually agreed upon time frame after receipt of notice of the Defect,  </w:t>
      </w:r>
      <w:bookmarkStart w:id="78" w:name="agencycode52"/>
      <w:bookmarkEnd w:id="78"/>
      <w:r w:rsidRPr="00557C5B">
        <w:rPr>
          <w:rFonts w:eastAsia="Calibri"/>
        </w:rPr>
        <w:t xml:space="preserve">MDOT shall be entitled to a full refund of fees paid and shall have the right to terminate this Agreement in whole or in part as provided for in the Termination Article herein. Licensee’s rights hereunder are in addition to any other rights Licensee may have.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7.4</w:t>
      </w:r>
      <w:r w:rsidRPr="00557C5B">
        <w:rPr>
          <w:rFonts w:eastAsia="Calibri"/>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7.5</w:t>
      </w:r>
      <w:r w:rsidRPr="00557C5B">
        <w:rPr>
          <w:rFonts w:eastAsia="Calibri"/>
        </w:rPr>
        <w:tab/>
        <w:t xml:space="preserve">Licensor represents and warrants that the Application shall not contain a disabling code, </w:t>
      </w:r>
      <w:proofErr w:type="spellStart"/>
      <w:r w:rsidR="009A0EB9">
        <w:rPr>
          <w:rFonts w:eastAsia="Calibri"/>
        </w:rPr>
        <w:t>Bid</w:t>
      </w:r>
      <w:r w:rsidRPr="00557C5B">
        <w:rPr>
          <w:rFonts w:eastAsia="Calibri"/>
        </w:rPr>
        <w:t>kup</w:t>
      </w:r>
      <w:proofErr w:type="spellEnd"/>
      <w:r w:rsidRPr="00557C5B">
        <w:rPr>
          <w:rFonts w:eastAsia="Calibri"/>
        </w:rPr>
        <w:t xml:space="preserve"> program or device. Licensor further agrees that it will not, under any circumstances including enforcement of a valid contract right, (a) install or trigger a </w:t>
      </w:r>
      <w:proofErr w:type="spellStart"/>
      <w:r w:rsidR="009A0EB9">
        <w:rPr>
          <w:rFonts w:eastAsia="Calibri"/>
        </w:rPr>
        <w:t>Bid</w:t>
      </w:r>
      <w:r w:rsidRPr="00557C5B">
        <w:rPr>
          <w:rFonts w:eastAsia="Calibri"/>
        </w:rPr>
        <w:t>kup</w:t>
      </w:r>
      <w:proofErr w:type="spellEnd"/>
      <w:r w:rsidRPr="00557C5B">
        <w:rPr>
          <w:rFonts w:eastAsia="Calibri"/>
        </w:rPr>
        <w:t xml:space="preserve">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w:t>
      </w:r>
      <w:proofErr w:type="spellStart"/>
      <w:r w:rsidR="009A0EB9">
        <w:rPr>
          <w:rFonts w:eastAsia="Calibri"/>
        </w:rPr>
        <w:t>Bid</w:t>
      </w:r>
      <w:r w:rsidRPr="00557C5B">
        <w:rPr>
          <w:rFonts w:eastAsia="Calibri"/>
        </w:rPr>
        <w:t>kup</w:t>
      </w:r>
      <w:proofErr w:type="spellEnd"/>
      <w:r w:rsidRPr="00557C5B">
        <w:rPr>
          <w:rFonts w:eastAsia="Calibri"/>
        </w:rPr>
        <w:t xml:space="preserve"> program or device.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7.6</w:t>
      </w:r>
      <w:r w:rsidRPr="00557C5B">
        <w:rPr>
          <w:rFonts w:eastAsia="Calibri"/>
        </w:rPr>
        <w:tab/>
        <w:t xml:space="preserve">Licensor represents and warrants that it has tested and will test (not less than on a daily basis) the Applications using commercially reasonable methods to ensure that the Applications provided to </w:t>
      </w:r>
      <w:bookmarkStart w:id="79" w:name="agencycode53"/>
      <w:bookmarkEnd w:id="79"/>
      <w:r w:rsidRPr="00557C5B">
        <w:rPr>
          <w:rFonts w:eastAsia="Calibri"/>
        </w:rPr>
        <w:t xml:space="preserve">MDOT do not and will not contain or incorporate any computer code, programs, procedures, mechanisms or programming devices (including but not limited to, viruses, </w:t>
      </w:r>
      <w:proofErr w:type="spellStart"/>
      <w:r w:rsidRPr="00557C5B">
        <w:rPr>
          <w:rFonts w:eastAsia="Calibri"/>
        </w:rPr>
        <w:t>trojan</w:t>
      </w:r>
      <w:proofErr w:type="spellEnd"/>
      <w:r w:rsidRPr="00557C5B">
        <w:rPr>
          <w:rFonts w:eastAsia="Calibri"/>
        </w:rPr>
        <w:t xml:space="preserve"> horses, or worms) that are designed to, or would enable Licensor or any third-party to, disrupt, </w:t>
      </w:r>
      <w:r w:rsidRPr="00557C5B">
        <w:rPr>
          <w:rFonts w:eastAsia="Calibri"/>
        </w:rPr>
        <w:lastRenderedPageBreak/>
        <w:t xml:space="preserve">modify, delete, damage, deactivate, disable, harm or otherwise impede the operation of the Licensor’s system, or any other associated software, firmware, hardware, computer system or network, including </w:t>
      </w:r>
      <w:bookmarkStart w:id="80" w:name="agencycode54"/>
      <w:bookmarkEnd w:id="80"/>
      <w:r w:rsidRPr="00557C5B">
        <w:rPr>
          <w:rFonts w:eastAsia="Calibri"/>
        </w:rPr>
        <w:t>MDOT</w:t>
      </w:r>
      <w:r w:rsidRPr="00557C5B">
        <w:rPr>
          <w:rFonts w:eastAsia="Calibri"/>
          <w:bCs/>
        </w:rPr>
        <w:t>’s</w:t>
      </w:r>
      <w:r w:rsidRPr="00557C5B">
        <w:rPr>
          <w:rFonts w:eastAsia="Calibri"/>
        </w:rPr>
        <w:t xml:space="preserve"> applications and </w:t>
      </w:r>
      <w:bookmarkStart w:id="81" w:name="agencycode55"/>
      <w:bookmarkEnd w:id="81"/>
      <w:r w:rsidRPr="00557C5B">
        <w:rPr>
          <w:rFonts w:eastAsia="Calibri"/>
        </w:rPr>
        <w:t>MDOT</w:t>
      </w:r>
      <w:r w:rsidRPr="00557C5B">
        <w:rPr>
          <w:rFonts w:eastAsia="Calibri"/>
          <w:bCs/>
        </w:rPr>
        <w:t>’s</w:t>
      </w:r>
      <w:r w:rsidRPr="00557C5B">
        <w:rPr>
          <w:rFonts w:eastAsia="Calibri"/>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82" w:name="agencycode56"/>
      <w:bookmarkEnd w:id="82"/>
      <w:r w:rsidRPr="00557C5B">
        <w:rPr>
          <w:rFonts w:eastAsia="Calibri"/>
        </w:rPr>
        <w:t>MDOT</w:t>
      </w:r>
      <w:r w:rsidRPr="00557C5B">
        <w:rPr>
          <w:rFonts w:eastAsia="Calibri"/>
          <w:bCs/>
        </w:rPr>
        <w:t>’s</w:t>
      </w:r>
      <w:r w:rsidRPr="00557C5B">
        <w:rPr>
          <w:rFonts w:eastAsia="Calibri"/>
        </w:rPr>
        <w:t xml:space="preserve"> applications and </w:t>
      </w:r>
      <w:bookmarkStart w:id="83" w:name="agencycode57"/>
      <w:bookmarkEnd w:id="83"/>
      <w:r w:rsidRPr="00557C5B">
        <w:rPr>
          <w:rFonts w:eastAsia="Calibri"/>
        </w:rPr>
        <w:t>MDOT</w:t>
      </w:r>
      <w:r w:rsidRPr="00557C5B">
        <w:rPr>
          <w:rFonts w:eastAsia="Calibri"/>
          <w:bCs/>
        </w:rPr>
        <w:t>’s</w:t>
      </w:r>
      <w:r w:rsidRPr="00557C5B">
        <w:rPr>
          <w:rFonts w:eastAsia="Calibri"/>
        </w:rPr>
        <w:t xml:space="preserve"> Content.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7.7</w:t>
      </w:r>
      <w:r w:rsidRPr="00557C5B">
        <w:rPr>
          <w:rFonts w:eastAsia="Calibri"/>
        </w:rPr>
        <w:tab/>
        <w:t xml:space="preserve">Licensor represents and warrants that the </w:t>
      </w:r>
      <w:bookmarkStart w:id="84" w:name="descriptionofsystem3"/>
      <w:bookmarkEnd w:id="84"/>
      <w:r w:rsidRPr="00557C5B">
        <w:rPr>
          <w:rFonts w:eastAsia="Calibri"/>
        </w:rPr>
        <w:t xml:space="preserve">Mass Notification Management system provided by the Licensor shall be reasonably expandable and scalable so </w:t>
      </w:r>
      <w:bookmarkStart w:id="85" w:name="agencycode58"/>
      <w:bookmarkEnd w:id="85"/>
      <w:r w:rsidRPr="00557C5B">
        <w:rPr>
          <w:rFonts w:eastAsia="Calibri"/>
        </w:rPr>
        <w:t xml:space="preserve">MDOT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86" w:name="agencycode59"/>
      <w:bookmarkEnd w:id="86"/>
      <w:r w:rsidRPr="00557C5B">
        <w:rPr>
          <w:rFonts w:eastAsia="Calibri"/>
        </w:rPr>
        <w:t xml:space="preserve">MDOT at no additional cost to </w:t>
      </w:r>
      <w:bookmarkStart w:id="87" w:name="agencycode60"/>
      <w:bookmarkEnd w:id="87"/>
      <w:r w:rsidRPr="00557C5B">
        <w:rPr>
          <w:rFonts w:eastAsia="Calibri"/>
        </w:rPr>
        <w:t>MDOT.</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 </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7.8</w:t>
      </w:r>
      <w:r w:rsidRPr="00557C5B">
        <w:rPr>
          <w:rFonts w:eastAsia="Calibri"/>
          <w:b/>
          <w:bCs/>
        </w:rPr>
        <w:tab/>
      </w:r>
      <w:r w:rsidRPr="00557C5B">
        <w:rPr>
          <w:rFonts w:eastAsia="Calibri"/>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7.9</w:t>
      </w:r>
      <w:r w:rsidRPr="00557C5B">
        <w:rPr>
          <w:rFonts w:eastAsia="Calibri"/>
          <w:b/>
        </w:rPr>
        <w:tab/>
      </w:r>
      <w:r w:rsidRPr="00557C5B">
        <w:rPr>
          <w:rFonts w:eastAsia="Calibri"/>
        </w:rPr>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rPr>
      </w:pPr>
      <w:r w:rsidRPr="00557C5B">
        <w:rPr>
          <w:rFonts w:eastAsia="Calibri"/>
          <w:b/>
        </w:rPr>
        <w:t>7.10</w:t>
      </w:r>
      <w:r w:rsidRPr="00557C5B">
        <w:rPr>
          <w:rFonts w:eastAsia="Calibri"/>
          <w:b/>
        </w:rPr>
        <w:tab/>
      </w:r>
      <w:r w:rsidRPr="00557C5B">
        <w:rPr>
          <w:rFonts w:eastAsia="Calibri"/>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557C5B" w:rsidRPr="00557C5B" w:rsidRDefault="00557C5B" w:rsidP="00557C5B">
      <w:pPr>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b/>
        </w:rPr>
      </w:pPr>
      <w:r w:rsidRPr="00557C5B">
        <w:rPr>
          <w:rFonts w:eastAsia="Calibri"/>
          <w:b/>
        </w:rPr>
        <w:lastRenderedPageBreak/>
        <w:t>7.11</w:t>
      </w:r>
      <w:r w:rsidRPr="00557C5B">
        <w:rPr>
          <w:rFonts w:eastAsia="Calibri"/>
          <w:b/>
        </w:rPr>
        <w:tab/>
      </w:r>
      <w:r w:rsidRPr="00557C5B">
        <w:rPr>
          <w:rFonts w:eastAsia="Calibri"/>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557C5B">
        <w:rPr>
          <w:rFonts w:eastAsia="Calibri"/>
          <w:b/>
        </w:rPr>
        <w:t>.</w:t>
      </w:r>
    </w:p>
    <w:p w:rsidR="00557C5B" w:rsidRPr="00557C5B" w:rsidRDefault="00557C5B" w:rsidP="00557C5B">
      <w:pPr>
        <w:autoSpaceDE w:val="0"/>
        <w:autoSpaceDN w:val="0"/>
        <w:adjustRightInd w:val="0"/>
        <w:jc w:val="both"/>
        <w:rPr>
          <w:rFonts w:eastAsia="Calibri"/>
          <w:b/>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7.12</w:t>
      </w:r>
      <w:r w:rsidRPr="00557C5B">
        <w:rPr>
          <w:rFonts w:eastAsia="Calibri"/>
          <w:b/>
        </w:rPr>
        <w:tab/>
      </w:r>
      <w:r w:rsidRPr="00557C5B">
        <w:rPr>
          <w:rFonts w:eastAsia="Calibri"/>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7.13</w:t>
      </w:r>
      <w:r w:rsidRPr="00557C5B">
        <w:rPr>
          <w:rFonts w:eastAsia="Calibri"/>
          <w:b/>
        </w:rPr>
        <w:tab/>
      </w:r>
      <w:r w:rsidRPr="00557C5B">
        <w:rPr>
          <w:rFonts w:eastAsia="Calibri"/>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88" w:name="agencycode61"/>
      <w:bookmarkEnd w:id="88"/>
      <w:r w:rsidRPr="00557C5B">
        <w:rPr>
          <w:rFonts w:eastAsia="Calibri"/>
        </w:rPr>
        <w:t>MDOT hereunder; or (c) otherwise act in a fraudulent, malicious or negligent manner when providing the Services.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jc w:val="both"/>
        <w:rPr>
          <w:rFonts w:eastAsia="Calibri"/>
          <w:b/>
        </w:rPr>
      </w:pPr>
      <w:r w:rsidRPr="00557C5B">
        <w:rPr>
          <w:rFonts w:eastAsia="Calibri"/>
          <w:b/>
        </w:rPr>
        <w:t>ARTICLE 8</w:t>
      </w:r>
      <w:r w:rsidRPr="00557C5B">
        <w:rPr>
          <w:rFonts w:eastAsia="Calibri"/>
          <w:b/>
        </w:rPr>
        <w:tab/>
        <w:t>INFRINGEMENT INDEMNIFICATION</w:t>
      </w:r>
    </w:p>
    <w:p w:rsidR="00557C5B" w:rsidRPr="00557C5B" w:rsidRDefault="00557C5B" w:rsidP="00557C5B">
      <w:pPr>
        <w:jc w:val="both"/>
        <w:rPr>
          <w:rFonts w:eastAsia="Calibri"/>
        </w:rPr>
      </w:pPr>
      <w:r w:rsidRPr="00557C5B">
        <w:rPr>
          <w:rFonts w:eastAsia="Calibri"/>
          <w:b/>
        </w:rPr>
        <w:t>8.1</w:t>
      </w:r>
      <w:r w:rsidRPr="00557C5B">
        <w:rPr>
          <w:rFonts w:eastAsia="Calibri"/>
          <w:b/>
        </w:rPr>
        <w:tab/>
      </w:r>
      <w:r w:rsidRPr="00557C5B">
        <w:rPr>
          <w:rFonts w:eastAsia="Calibri"/>
        </w:rPr>
        <w:t xml:space="preserve">Licensor represents and warrants, to the best of its </w:t>
      </w:r>
      <w:proofErr w:type="gramStart"/>
      <w:r w:rsidRPr="00557C5B">
        <w:rPr>
          <w:rFonts w:eastAsia="Calibri"/>
        </w:rPr>
        <w:t>knowledge, that</w:t>
      </w:r>
      <w:proofErr w:type="gramEnd"/>
      <w:r w:rsidRPr="00557C5B">
        <w:rPr>
          <w:rFonts w:eastAsia="Calibri"/>
        </w:rPr>
        <w:t xml:space="preserve"> neither the Applications and Services provided to </w:t>
      </w:r>
      <w:bookmarkStart w:id="89" w:name="agencycode62"/>
      <w:bookmarkEnd w:id="89"/>
      <w:r w:rsidRPr="00557C5B">
        <w:rPr>
          <w:rFonts w:eastAsia="Calibri"/>
        </w:rPr>
        <w:t xml:space="preserve">MDOT under this Agreement nor their use by </w:t>
      </w:r>
      <w:bookmarkStart w:id="90" w:name="agencycode63"/>
      <w:bookmarkEnd w:id="90"/>
      <w:r w:rsidRPr="00557C5B">
        <w:rPr>
          <w:rFonts w:eastAsia="Calibri"/>
        </w:rPr>
        <w:t xml:space="preserve">MDOT will violate or infringe on any copyright, patent, trade secret or other proprietary right of any person or entity. Licensor, at its own expense, shall defend or settle any and all infringement actions filed against Licensor or </w:t>
      </w:r>
      <w:bookmarkStart w:id="91" w:name="agencycode64"/>
      <w:bookmarkEnd w:id="91"/>
      <w:r w:rsidRPr="00557C5B">
        <w:rPr>
          <w:rFonts w:eastAsia="Calibri"/>
        </w:rPr>
        <w:t xml:space="preserve">MDOT which involve the Applications, Services or other items provided under this Agreement and shall pay all costs, attorney fees, damages and judgment finally awarded against </w:t>
      </w:r>
      <w:bookmarkStart w:id="92" w:name="agencycode65"/>
      <w:bookmarkEnd w:id="92"/>
      <w:r w:rsidRPr="00557C5B">
        <w:rPr>
          <w:rFonts w:eastAsia="Calibri"/>
        </w:rPr>
        <w:t xml:space="preserve">MDOT provided that: (a) </w:t>
      </w:r>
      <w:bookmarkStart w:id="93" w:name="agencycode66"/>
      <w:bookmarkEnd w:id="93"/>
      <w:r w:rsidRPr="00557C5B">
        <w:rPr>
          <w:rFonts w:eastAsia="Calibri"/>
        </w:rPr>
        <w:t xml:space="preserve">MDOT notifies Licensor in writing of any such claim of which it has knowledge; (b) Licensor has, to the extent authorized by Mississippi law, sole control of the defense of any actions or negotiations related to the defense or settlement of any such claim, and (c) </w:t>
      </w:r>
      <w:bookmarkStart w:id="94" w:name="agencycode67"/>
      <w:bookmarkEnd w:id="94"/>
      <w:r w:rsidRPr="00557C5B">
        <w:rPr>
          <w:rFonts w:eastAsia="Calibri"/>
        </w:rPr>
        <w:t xml:space="preserve">MDOT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95" w:name="agencycode68"/>
      <w:bookmarkEnd w:id="95"/>
      <w:r w:rsidRPr="00557C5B">
        <w:rPr>
          <w:rFonts w:eastAsia="Calibri"/>
        </w:rPr>
        <w:t xml:space="preserve">MDOT if such compromise or settlement would create an obligation or liability upon </w:t>
      </w:r>
      <w:bookmarkStart w:id="96" w:name="agencycode69"/>
      <w:bookmarkEnd w:id="96"/>
      <w:r w:rsidRPr="00557C5B">
        <w:rPr>
          <w:rFonts w:eastAsia="Calibri"/>
        </w:rPr>
        <w:t xml:space="preserve">MDOT or the State. If, in any such suit </w:t>
      </w:r>
      <w:r w:rsidRPr="00557C5B">
        <w:rPr>
          <w:rFonts w:eastAsia="Calibri"/>
        </w:rPr>
        <w:lastRenderedPageBreak/>
        <w:t xml:space="preserve">arising from such claim, the continued use of the items for the purpose intended is enjoined or threatened to be enjoined by any court of competent jurisdiction, Licensor shall, at its expense: (a) first procure for </w:t>
      </w:r>
      <w:bookmarkStart w:id="97" w:name="agencycode70"/>
      <w:bookmarkEnd w:id="97"/>
      <w:r w:rsidRPr="00557C5B">
        <w:rPr>
          <w:rFonts w:eastAsia="Calibri"/>
        </w:rPr>
        <w:t xml:space="preserve">MDOT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98" w:name="agencycode71"/>
      <w:bookmarkEnd w:id="98"/>
      <w:r w:rsidRPr="00557C5B">
        <w:rPr>
          <w:rFonts w:eastAsia="Calibri"/>
        </w:rPr>
        <w:t xml:space="preserve">MDOT for the  fees previously paid by </w:t>
      </w:r>
      <w:bookmarkStart w:id="99" w:name="agencycode72"/>
      <w:bookmarkEnd w:id="99"/>
      <w:r w:rsidRPr="00557C5B">
        <w:rPr>
          <w:rFonts w:eastAsia="Calibri"/>
        </w:rPr>
        <w:t xml:space="preserve">MDOT for the infringing Applications and Services </w:t>
      </w:r>
      <w:bookmarkStart w:id="100" w:name="agencycode73"/>
      <w:bookmarkEnd w:id="100"/>
      <w:r w:rsidRPr="00557C5B">
        <w:rPr>
          <w:rFonts w:eastAsia="Calibri"/>
        </w:rPr>
        <w:t xml:space="preserve">MDOT may no longer use.  Said refund shall be paid within ten (10) business days of notice to </w:t>
      </w:r>
      <w:bookmarkStart w:id="101" w:name="agencycode74"/>
      <w:bookmarkEnd w:id="101"/>
      <w:r w:rsidRPr="00557C5B">
        <w:rPr>
          <w:rFonts w:eastAsia="Calibri"/>
        </w:rPr>
        <w:t>MDOT to discontinue said use.</w:t>
      </w:r>
    </w:p>
    <w:p w:rsidR="00557C5B" w:rsidRPr="00557C5B" w:rsidRDefault="00557C5B" w:rsidP="00557C5B">
      <w:pPr>
        <w:jc w:val="both"/>
        <w:rPr>
          <w:rFonts w:eastAsia="Calibri"/>
          <w:b/>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8.2</w:t>
      </w:r>
      <w:r w:rsidRPr="00557C5B">
        <w:rPr>
          <w:rFonts w:eastAsia="Calibri"/>
          <w:b/>
        </w:rPr>
        <w:tab/>
      </w:r>
      <w:r w:rsidRPr="00557C5B">
        <w:rPr>
          <w:rFonts w:eastAsia="Calibri"/>
        </w:rPr>
        <w:t xml:space="preserve">Licensor shall have no obligation for infringement claims caused by: (a) an unauthorized modification of the Applications or Service by </w:t>
      </w:r>
      <w:bookmarkStart w:id="102" w:name="agencycode75"/>
      <w:bookmarkEnd w:id="102"/>
      <w:r w:rsidRPr="00557C5B">
        <w:rPr>
          <w:rFonts w:eastAsia="Calibri"/>
        </w:rPr>
        <w:t xml:space="preserve">MDOT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103" w:name="agencycode76"/>
      <w:bookmarkEnd w:id="103"/>
      <w:r w:rsidRPr="00557C5B">
        <w:rPr>
          <w:rFonts w:eastAsia="Calibri"/>
        </w:rPr>
        <w:t>MDOT other than in accordance with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jc w:val="both"/>
        <w:rPr>
          <w:rFonts w:eastAsia="Calibri"/>
          <w:b/>
        </w:rPr>
      </w:pPr>
      <w:r w:rsidRPr="00557C5B">
        <w:rPr>
          <w:rFonts w:eastAsia="Calibri"/>
          <w:b/>
        </w:rPr>
        <w:t>ARTICLE 9</w:t>
      </w:r>
      <w:r w:rsidRPr="00557C5B">
        <w:rPr>
          <w:rFonts w:eastAsia="Calibri"/>
          <w:b/>
        </w:rPr>
        <w:tab/>
        <w:t>DATA SECURITY</w:t>
      </w:r>
    </w:p>
    <w:p w:rsidR="00557C5B" w:rsidRPr="00557C5B" w:rsidRDefault="00557C5B" w:rsidP="00557C5B">
      <w:pPr>
        <w:widowControl w:val="0"/>
        <w:autoSpaceDE w:val="0"/>
        <w:autoSpaceDN w:val="0"/>
        <w:adjustRightInd w:val="0"/>
        <w:jc w:val="both"/>
        <w:rPr>
          <w:rFonts w:eastAsia="Calibri"/>
        </w:rPr>
      </w:pPr>
      <w:r w:rsidRPr="00557C5B">
        <w:rPr>
          <w:rFonts w:eastAsia="Calibri"/>
          <w:b/>
        </w:rPr>
        <w:t>9.1</w:t>
      </w:r>
      <w:r w:rsidRPr="00557C5B">
        <w:rPr>
          <w:rFonts w:eastAsia="Calibri"/>
        </w:rPr>
        <w:tab/>
        <w:t xml:space="preserve">As part of the Services, Licensor shall provide administrative, physical, and technical safeguards for protection of the security, confidentiality and integrity of </w:t>
      </w:r>
      <w:bookmarkStart w:id="104" w:name="agencycode77"/>
      <w:bookmarkEnd w:id="104"/>
      <w:r w:rsidRPr="00557C5B">
        <w:rPr>
          <w:rFonts w:eastAsia="Calibri"/>
        </w:rPr>
        <w:t>MDOT Content. Licensor agrees to comply with all applicable privacy or data protection statutes, rules, or regulations governing the respective activities of the parties under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rPr>
        <w:t>9.2</w:t>
      </w:r>
      <w:r w:rsidRPr="00557C5B">
        <w:rPr>
          <w:rFonts w:eastAsia="Calibri"/>
        </w:rPr>
        <w:t xml:space="preserve">   Prior to initiation of the Services under this Agreement and on an ongoing basis thereafter,  </w:t>
      </w:r>
      <w:bookmarkStart w:id="105" w:name="agencycode78"/>
      <w:bookmarkEnd w:id="105"/>
      <w:r w:rsidRPr="00557C5B">
        <w:rPr>
          <w:rFonts w:eastAsia="Calibri"/>
        </w:rPr>
        <w:t xml:space="preserve">MDOT agrees to provide notice to Licensor of any extraordinary privacy or data protection statutes, rules, or regulations which are or become applicable to </w:t>
      </w:r>
      <w:bookmarkStart w:id="106" w:name="agencycode79"/>
      <w:bookmarkEnd w:id="106"/>
      <w:r w:rsidRPr="00557C5B">
        <w:rPr>
          <w:rFonts w:eastAsia="Calibri"/>
        </w:rPr>
        <w:t>MDOT</w:t>
      </w:r>
      <w:r w:rsidRPr="00557C5B">
        <w:rPr>
          <w:rFonts w:eastAsia="Calibri"/>
          <w:bCs/>
        </w:rPr>
        <w:t>’s</w:t>
      </w:r>
      <w:r w:rsidRPr="00557C5B">
        <w:rPr>
          <w:rFonts w:eastAsia="Calibri"/>
        </w:rPr>
        <w:t xml:space="preserve"> industry and which could be imposed on Licensor as a result of provision of the Services. </w:t>
      </w:r>
      <w:bookmarkStart w:id="107" w:name="agencycode80"/>
      <w:bookmarkEnd w:id="107"/>
      <w:r w:rsidRPr="00557C5B">
        <w:rPr>
          <w:rFonts w:eastAsia="Calibri"/>
        </w:rPr>
        <w:t xml:space="preserve">MDOT will ensure that: (a) the transfer to Licensor and storage of any PII by Licensor is permitted under applicable data protection laws and regulations; and, (b) </w:t>
      </w:r>
      <w:bookmarkStart w:id="108" w:name="agencycode81"/>
      <w:bookmarkEnd w:id="108"/>
      <w:r w:rsidRPr="00557C5B">
        <w:rPr>
          <w:rFonts w:eastAsia="Calibri"/>
        </w:rPr>
        <w:t>MDOT will obtain consents from individuals for such transfer and storage to the extent required under applicable laws and regulations.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color w:val="333333"/>
          <w:shd w:val="clear" w:color="auto" w:fill="FFFFFF"/>
        </w:rPr>
      </w:pPr>
      <w:r w:rsidRPr="00557C5B">
        <w:rPr>
          <w:rFonts w:eastAsia="Calibri"/>
          <w:b/>
        </w:rPr>
        <w:t>9.3</w:t>
      </w:r>
      <w:r w:rsidRPr="00557C5B">
        <w:rPr>
          <w:rFonts w:eastAsia="Calibri"/>
          <w:b/>
        </w:rPr>
        <w:tab/>
      </w:r>
      <w:r w:rsidRPr="00557C5B">
        <w:rPr>
          <w:rFonts w:eastAsia="Calibri"/>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w:t>
      </w:r>
      <w:proofErr w:type="spellStart"/>
      <w:proofErr w:type="gramStart"/>
      <w:r w:rsidR="009A0EB9">
        <w:rPr>
          <w:rFonts w:eastAsia="Calibri"/>
        </w:rPr>
        <w:t>Bid</w:t>
      </w:r>
      <w:r w:rsidRPr="00557C5B">
        <w:rPr>
          <w:rFonts w:eastAsia="Calibri"/>
        </w:rPr>
        <w:t>ated</w:t>
      </w:r>
      <w:proofErr w:type="spellEnd"/>
      <w:proofErr w:type="gramEnd"/>
      <w:r w:rsidRPr="00557C5B">
        <w:rPr>
          <w:rFonts w:eastAsia="Calibri"/>
        </w:rPr>
        <w:t xml:space="preserve"> shall undergo pertinent security examinations. Management access to Licensor’s private cloud shall be limited to Licensor’s authorized support staff and </w:t>
      </w:r>
      <w:bookmarkStart w:id="109" w:name="agencycode82"/>
      <w:bookmarkEnd w:id="109"/>
      <w:r w:rsidRPr="00557C5B">
        <w:rPr>
          <w:rFonts w:eastAsia="Calibri"/>
        </w:rPr>
        <w:t>MDOT</w:t>
      </w:r>
      <w:r w:rsidRPr="00557C5B">
        <w:rPr>
          <w:rFonts w:eastAsia="Calibri"/>
          <w:bCs/>
        </w:rPr>
        <w:t>’s</w:t>
      </w:r>
      <w:r w:rsidRPr="00557C5B">
        <w:rPr>
          <w:rFonts w:eastAsia="Calibri"/>
        </w:rPr>
        <w:t xml:space="preserve"> authorized staff. The Applications shall provide </w:t>
      </w:r>
      <w:bookmarkStart w:id="110" w:name="agencycode83"/>
      <w:bookmarkEnd w:id="110"/>
      <w:r w:rsidRPr="00557C5B">
        <w:rPr>
          <w:rFonts w:eastAsia="Calibri"/>
        </w:rPr>
        <w:t xml:space="preserve">MDOT with the ability to configure application security and logical access per </w:t>
      </w:r>
      <w:bookmarkStart w:id="111" w:name="agencycode84"/>
      <w:bookmarkEnd w:id="111"/>
      <w:r w:rsidRPr="00557C5B">
        <w:rPr>
          <w:rFonts w:eastAsia="Calibri"/>
        </w:rPr>
        <w:t>MDOT</w:t>
      </w:r>
      <w:r w:rsidRPr="00557C5B">
        <w:rPr>
          <w:rFonts w:eastAsia="Calibri"/>
          <w:bCs/>
        </w:rPr>
        <w:t>’s</w:t>
      </w:r>
      <w:r w:rsidRPr="00557C5B">
        <w:rPr>
          <w:rFonts w:eastAsia="Calibri"/>
        </w:rPr>
        <w:t xml:space="preserve"> business processes. </w:t>
      </w:r>
      <w:r w:rsidRPr="00557C5B">
        <w:rPr>
          <w:rFonts w:eastAsia="Calibri"/>
          <w:color w:val="333333"/>
          <w:shd w:val="clear" w:color="auto" w:fill="FFFFFF"/>
        </w:rPr>
        <w:t xml:space="preserve">In the event </w:t>
      </w:r>
      <w:bookmarkStart w:id="112" w:name="agencycode85"/>
      <w:bookmarkEnd w:id="112"/>
      <w:r w:rsidRPr="00557C5B">
        <w:rPr>
          <w:rFonts w:eastAsia="Calibri"/>
          <w:color w:val="333333"/>
          <w:shd w:val="clear" w:color="auto" w:fill="FFFFFF"/>
        </w:rPr>
        <w:t xml:space="preserve">MDOT identifies a security issue, </w:t>
      </w:r>
      <w:bookmarkStart w:id="113" w:name="agencycode86"/>
      <w:bookmarkEnd w:id="113"/>
      <w:r w:rsidRPr="00557C5B">
        <w:rPr>
          <w:rFonts w:eastAsia="Calibri"/>
          <w:color w:val="333333"/>
          <w:shd w:val="clear" w:color="auto" w:fill="FFFFFF"/>
        </w:rPr>
        <w:t xml:space="preserve">MDOT will notify Licensor. </w:t>
      </w:r>
    </w:p>
    <w:p w:rsidR="00557C5B" w:rsidRPr="00557C5B" w:rsidRDefault="00557C5B" w:rsidP="00557C5B">
      <w:pPr>
        <w:widowControl w:val="0"/>
        <w:autoSpaceDE w:val="0"/>
        <w:autoSpaceDN w:val="0"/>
        <w:adjustRightInd w:val="0"/>
        <w:jc w:val="both"/>
        <w:rPr>
          <w:rFonts w:eastAsia="Calibri"/>
          <w:color w:val="333333"/>
          <w:shd w:val="clear" w:color="auto" w:fill="FFFFFF"/>
        </w:rPr>
      </w:pPr>
    </w:p>
    <w:p w:rsidR="00557C5B" w:rsidRPr="00557C5B" w:rsidRDefault="00557C5B" w:rsidP="00557C5B">
      <w:pPr>
        <w:jc w:val="both"/>
        <w:rPr>
          <w:rFonts w:eastAsia="Calibri"/>
        </w:rPr>
      </w:pPr>
      <w:r w:rsidRPr="00557C5B">
        <w:rPr>
          <w:rFonts w:eastAsia="Calibri"/>
          <w:b/>
        </w:rPr>
        <w:t>9.4</w:t>
      </w:r>
      <w:r w:rsidRPr="00557C5B">
        <w:rPr>
          <w:rFonts w:eastAsia="Calibri"/>
        </w:rPr>
        <w:tab/>
        <w:t>At a minimum, Licensor’s safeguards for the protection of PII shall include: (</w:t>
      </w:r>
      <w:proofErr w:type="spellStart"/>
      <w:r w:rsidRPr="00557C5B">
        <w:rPr>
          <w:rFonts w:eastAsia="Calibri"/>
        </w:rPr>
        <w:t>i</w:t>
      </w:r>
      <w:proofErr w:type="spellEnd"/>
      <w:r w:rsidRPr="00557C5B">
        <w:rPr>
          <w:rFonts w:eastAsia="Calibri"/>
        </w:rPr>
        <w:t xml:space="preserve">)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w:t>
      </w:r>
      <w:r w:rsidRPr="00557C5B">
        <w:rPr>
          <w:rFonts w:eastAsia="Calibri"/>
        </w:rPr>
        <w:lastRenderedPageBreak/>
        <w:t>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rsidR="00557C5B" w:rsidRPr="00557C5B" w:rsidRDefault="00557C5B" w:rsidP="00557C5B">
      <w:pPr>
        <w:jc w:val="both"/>
        <w:rPr>
          <w:rFonts w:eastAsia="Calibri"/>
        </w:rPr>
      </w:pPr>
    </w:p>
    <w:p w:rsidR="00557C5B" w:rsidRPr="00557C5B" w:rsidRDefault="00557C5B" w:rsidP="00557C5B">
      <w:pPr>
        <w:jc w:val="both"/>
        <w:rPr>
          <w:rFonts w:eastAsia="Calibri"/>
        </w:rPr>
      </w:pPr>
      <w:r w:rsidRPr="00557C5B">
        <w:rPr>
          <w:rFonts w:eastAsia="Calibri"/>
          <w:b/>
        </w:rPr>
        <w:t>9.5</w:t>
      </w:r>
      <w:r w:rsidRPr="00557C5B">
        <w:rPr>
          <w:rFonts w:eastAsia="Calibri"/>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114" w:name="agencycode87"/>
      <w:bookmarkEnd w:id="114"/>
      <w:r w:rsidRPr="00557C5B">
        <w:rPr>
          <w:rFonts w:eastAsia="Calibri"/>
        </w:rPr>
        <w:t xml:space="preserve">MDOT may seek equitable relief including a restraining order, injunctive relief, specific performance, and such other relief that may be available from a court in addition to any other remedy to which </w:t>
      </w:r>
      <w:bookmarkStart w:id="115" w:name="agencycode88"/>
      <w:bookmarkEnd w:id="115"/>
      <w:r w:rsidRPr="00557C5B">
        <w:rPr>
          <w:rFonts w:eastAsia="Calibri"/>
        </w:rPr>
        <w:t>MDOT may be entitled at law or in equity.  Such remedies shall not be deemed to be exclusive but shall be in addition to all other remedies available at law or in equity.</w:t>
      </w:r>
    </w:p>
    <w:p w:rsidR="00557C5B" w:rsidRPr="00557C5B" w:rsidRDefault="00557C5B" w:rsidP="00557C5B">
      <w:pPr>
        <w:jc w:val="both"/>
        <w:rPr>
          <w:rFonts w:eastAsia="Calibri"/>
        </w:rPr>
      </w:pPr>
    </w:p>
    <w:p w:rsidR="00557C5B" w:rsidRPr="00557C5B" w:rsidRDefault="00557C5B" w:rsidP="00557C5B">
      <w:pPr>
        <w:jc w:val="both"/>
        <w:rPr>
          <w:rFonts w:eastAsia="Calibri"/>
        </w:rPr>
      </w:pPr>
      <w:r w:rsidRPr="00557C5B">
        <w:rPr>
          <w:rFonts w:eastAsia="Calibri"/>
          <w:b/>
        </w:rPr>
        <w:t>9.6</w:t>
      </w:r>
      <w:r w:rsidRPr="00557C5B">
        <w:rPr>
          <w:rFonts w:eastAsia="Calibri"/>
          <w:b/>
        </w:rPr>
        <w:tab/>
      </w:r>
      <w:r w:rsidRPr="00557C5B">
        <w:rPr>
          <w:rFonts w:eastAsia="Calibri"/>
        </w:rPr>
        <w:t xml:space="preserve">At any time during the term of this Agreement at </w:t>
      </w:r>
      <w:bookmarkStart w:id="116" w:name="agencycode89"/>
      <w:bookmarkEnd w:id="116"/>
      <w:r w:rsidRPr="00557C5B">
        <w:rPr>
          <w:rFonts w:eastAsia="Calibri"/>
        </w:rPr>
        <w:t>MDOT</w:t>
      </w:r>
      <w:r w:rsidRPr="00557C5B">
        <w:rPr>
          <w:rFonts w:eastAsia="Calibri"/>
          <w:bCs/>
        </w:rPr>
        <w:t>’s</w:t>
      </w:r>
      <w:r w:rsidRPr="00557C5B">
        <w:rPr>
          <w:rFonts w:eastAsia="Calibri"/>
        </w:rPr>
        <w:t xml:space="preserve"> request or upon the termination or expiration of this Agreement for any reason, Licensor shall promptly return to </w:t>
      </w:r>
      <w:bookmarkStart w:id="117" w:name="agencycode90"/>
      <w:bookmarkEnd w:id="117"/>
      <w:r w:rsidRPr="00557C5B">
        <w:rPr>
          <w:rFonts w:eastAsia="Calibri"/>
        </w:rPr>
        <w:t xml:space="preserve">MDOT all copies, whether in written, electronic or other form or media, of PII in its possession, or securely dispose of all such copies, and certify in writing to </w:t>
      </w:r>
      <w:bookmarkStart w:id="118" w:name="agencycode91"/>
      <w:bookmarkEnd w:id="118"/>
      <w:r w:rsidRPr="00557C5B">
        <w:rPr>
          <w:rFonts w:eastAsia="Calibri"/>
        </w:rPr>
        <w:t xml:space="preserve">MDOT that such has been returned to </w:t>
      </w:r>
      <w:bookmarkStart w:id="119" w:name="agencycode92"/>
      <w:bookmarkEnd w:id="119"/>
      <w:r w:rsidRPr="00557C5B">
        <w:rPr>
          <w:rFonts w:eastAsia="Calibri"/>
        </w:rPr>
        <w:t xml:space="preserve">MDOT or disposed of securely. Licensor shall comply with all reasonable directions provided by </w:t>
      </w:r>
      <w:bookmarkStart w:id="120" w:name="agencycode93"/>
      <w:bookmarkEnd w:id="120"/>
      <w:r w:rsidRPr="00557C5B">
        <w:rPr>
          <w:rFonts w:eastAsia="Calibri"/>
        </w:rPr>
        <w:t>MDOT with respect to the return or disposal of PII.</w:t>
      </w:r>
    </w:p>
    <w:p w:rsidR="00557C5B" w:rsidRPr="00557C5B" w:rsidRDefault="00557C5B" w:rsidP="00557C5B">
      <w:pPr>
        <w:jc w:val="both"/>
        <w:rPr>
          <w:rFonts w:eastAsia="Calibri"/>
        </w:rPr>
      </w:pPr>
    </w:p>
    <w:p w:rsidR="00557C5B" w:rsidRPr="00557C5B" w:rsidRDefault="00557C5B" w:rsidP="00557C5B">
      <w:pPr>
        <w:jc w:val="both"/>
        <w:rPr>
          <w:rFonts w:eastAsia="Calibri"/>
        </w:rPr>
      </w:pPr>
      <w:r w:rsidRPr="00557C5B">
        <w:rPr>
          <w:rFonts w:eastAsia="Calibri"/>
          <w:b/>
        </w:rPr>
        <w:t>9.7</w:t>
      </w:r>
      <w:r w:rsidRPr="00557C5B">
        <w:rPr>
          <w:rFonts w:eastAsia="Calibri"/>
        </w:rPr>
        <w:tab/>
        <w:t xml:space="preserve">Upon </w:t>
      </w:r>
      <w:bookmarkStart w:id="121" w:name="agencycode94"/>
      <w:bookmarkEnd w:id="121"/>
      <w:r w:rsidRPr="00557C5B">
        <w:rPr>
          <w:rFonts w:eastAsia="Calibri"/>
        </w:rPr>
        <w:t>MDOT</w:t>
      </w:r>
      <w:r w:rsidRPr="00557C5B">
        <w:rPr>
          <w:rFonts w:eastAsia="Calibri"/>
          <w:bCs/>
        </w:rPr>
        <w:t>’s</w:t>
      </w:r>
      <w:r w:rsidRPr="00557C5B">
        <w:rPr>
          <w:rFonts w:eastAsia="Calibri"/>
        </w:rPr>
        <w:t xml:space="preserve"> request, to confirm Licensor’s compliance with this Agreement, as well as any applicable laws, regulations and industry standards, Licensor grants </w:t>
      </w:r>
      <w:bookmarkStart w:id="122" w:name="agencycode95"/>
      <w:bookmarkEnd w:id="122"/>
      <w:r w:rsidRPr="00557C5B">
        <w:rPr>
          <w:rFonts w:eastAsia="Calibri"/>
        </w:rPr>
        <w:t xml:space="preserve">MDOT or, upon </w:t>
      </w:r>
      <w:bookmarkStart w:id="123" w:name="agencycode96"/>
      <w:bookmarkEnd w:id="123"/>
      <w:r w:rsidRPr="00557C5B">
        <w:rPr>
          <w:rFonts w:eastAsia="Calibri"/>
        </w:rPr>
        <w:t>MDOT</w:t>
      </w:r>
      <w:r w:rsidRPr="00557C5B">
        <w:rPr>
          <w:rFonts w:eastAsia="Calibri"/>
          <w:bCs/>
        </w:rPr>
        <w:t>’s</w:t>
      </w:r>
      <w:r w:rsidRPr="00557C5B">
        <w:rPr>
          <w:rFonts w:eastAsia="Calibri"/>
        </w:rPr>
        <w:t xml:space="preserve"> election, a third party on </w:t>
      </w:r>
      <w:bookmarkStart w:id="124" w:name="agencycode97"/>
      <w:bookmarkEnd w:id="124"/>
      <w:r w:rsidRPr="00557C5B">
        <w:rPr>
          <w:rFonts w:eastAsia="Calibri"/>
        </w:rPr>
        <w:t>MDOT</w:t>
      </w:r>
      <w:r w:rsidRPr="00557C5B">
        <w:rPr>
          <w:rFonts w:eastAsia="Calibri"/>
          <w:bCs/>
        </w:rPr>
        <w:t>’s</w:t>
      </w:r>
      <w:r w:rsidRPr="00557C5B">
        <w:rPr>
          <w:rFonts w:eastAsia="Calibri"/>
        </w:rPr>
        <w:t xml:space="preserve"> behalf, permission to perform an assessment, audit, examination or review of all controls in Licensor’s physical and/or technical environment in relation to all PII being handled and/or services being provided to </w:t>
      </w:r>
      <w:bookmarkStart w:id="125" w:name="agencycode98"/>
      <w:bookmarkEnd w:id="125"/>
      <w:r w:rsidRPr="00557C5B">
        <w:rPr>
          <w:rFonts w:eastAsia="Calibri"/>
        </w:rPr>
        <w:t xml:space="preserve">MDOT pursuant to this Agreement. Licensor shall fully cooperate with such assessment by providing access to knowledgeable personnel, physical premises, Documentation, infrastructure and application software that processes, stores or transports PII for </w:t>
      </w:r>
      <w:bookmarkStart w:id="126" w:name="agencycode99"/>
      <w:bookmarkEnd w:id="126"/>
      <w:r w:rsidRPr="00557C5B">
        <w:rPr>
          <w:rFonts w:eastAsia="Calibri"/>
        </w:rPr>
        <w:t>MDOT pursuant to this Agreement.</w:t>
      </w:r>
    </w:p>
    <w:p w:rsidR="00557C5B" w:rsidRPr="00557C5B" w:rsidRDefault="00557C5B" w:rsidP="00557C5B">
      <w:pPr>
        <w:jc w:val="both"/>
        <w:rPr>
          <w:rFonts w:eastAsia="Calibri"/>
        </w:rPr>
      </w:pPr>
    </w:p>
    <w:p w:rsidR="00557C5B" w:rsidRPr="00557C5B" w:rsidRDefault="00557C5B" w:rsidP="00557C5B">
      <w:pPr>
        <w:jc w:val="both"/>
        <w:rPr>
          <w:rFonts w:eastAsia="Calibri"/>
        </w:rPr>
      </w:pPr>
      <w:r w:rsidRPr="00557C5B">
        <w:rPr>
          <w:rFonts w:eastAsia="Calibri"/>
          <w:b/>
        </w:rPr>
        <w:t>9.8</w:t>
      </w:r>
      <w:r w:rsidRPr="00557C5B">
        <w:rPr>
          <w:rFonts w:eastAsia="Calibri"/>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127" w:name="agencycode100"/>
      <w:bookmarkEnd w:id="127"/>
      <w:r w:rsidRPr="00557C5B">
        <w:rPr>
          <w:rFonts w:eastAsia="Calibri"/>
        </w:rPr>
        <w:t>MDOT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10</w:t>
      </w:r>
      <w:r w:rsidRPr="00557C5B">
        <w:rPr>
          <w:rFonts w:eastAsia="Calibri"/>
          <w:b/>
          <w:bCs/>
        </w:rPr>
        <w:tab/>
        <w:t>EMPLOYMENT STATUS</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10.1</w:t>
      </w:r>
      <w:r w:rsidRPr="00557C5B">
        <w:rPr>
          <w:rFonts w:eastAsia="Calibri"/>
        </w:rPr>
        <w:tab/>
        <w:t>Licensor shall, during the entire term of this Agreement, be construed to be an independent contractor. Nothing in this Agreement is intended to nor shall be construed to create an employer-employee relationship, or a joint venture relationship.</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10.2</w:t>
      </w:r>
      <w:r w:rsidRPr="00557C5B">
        <w:rPr>
          <w:rFonts w:eastAsia="Calibri"/>
        </w:rPr>
        <w:tab/>
        <w:t xml:space="preserve">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w:t>
      </w:r>
      <w:r w:rsidRPr="00557C5B">
        <w:rPr>
          <w:rFonts w:eastAsia="Calibri"/>
        </w:rPr>
        <w:lastRenderedPageBreak/>
        <w:t>be deemed in any way, directly or indirectly, expressly or by implication, to be employees of Licensee.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10.3</w:t>
      </w:r>
      <w:r w:rsidRPr="00557C5B">
        <w:rPr>
          <w:rFonts w:eastAsia="Calibri"/>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10.4</w:t>
      </w:r>
      <w:r w:rsidRPr="00557C5B">
        <w:rPr>
          <w:rFonts w:eastAsia="Calibri"/>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11</w:t>
      </w:r>
      <w:r w:rsidRPr="00557C5B">
        <w:rPr>
          <w:rFonts w:eastAsia="Calibri"/>
          <w:b/>
          <w:bCs/>
        </w:rPr>
        <w:tab/>
        <w:t>BEHAVIOR OF EMPLOYEES/SUBCONTRACTORS</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Licensor will be responsible for the behavior of all its employees and subcontractors while on the premises of any Licensee </w:t>
      </w:r>
      <w:proofErr w:type="spellStart"/>
      <w:r w:rsidR="009A0EB9">
        <w:rPr>
          <w:rFonts w:eastAsia="Calibri"/>
        </w:rPr>
        <w:t>Bid</w:t>
      </w:r>
      <w:r w:rsidRPr="00557C5B">
        <w:rPr>
          <w:rFonts w:eastAsia="Calibri"/>
        </w:rPr>
        <w:t>ation</w:t>
      </w:r>
      <w:proofErr w:type="spellEnd"/>
      <w:r w:rsidRPr="00557C5B">
        <w:rPr>
          <w:rFonts w:eastAsia="Calibri"/>
        </w:rPr>
        <w:t xml:space="preserve">. Any employee or subcontractor acting in a manner determined by the administration of that </w:t>
      </w:r>
      <w:proofErr w:type="spellStart"/>
      <w:r w:rsidR="009A0EB9">
        <w:rPr>
          <w:rFonts w:eastAsia="Calibri"/>
        </w:rPr>
        <w:t>Bid</w:t>
      </w:r>
      <w:r w:rsidRPr="00557C5B">
        <w:rPr>
          <w:rFonts w:eastAsia="Calibri"/>
        </w:rPr>
        <w:t>ation</w:t>
      </w:r>
      <w:proofErr w:type="spellEnd"/>
      <w:r w:rsidRPr="00557C5B">
        <w:rPr>
          <w:rFonts w:eastAsia="Calibri"/>
        </w:rPr>
        <w:t xml:space="preserve"> to be detrimental, abusive or offensive to any of the staff will be asked to leave the premises and may be suspended from further work on the premises. All Licensor employees and subcontractors who will be working at such </w:t>
      </w:r>
      <w:proofErr w:type="spellStart"/>
      <w:r w:rsidR="009A0EB9">
        <w:rPr>
          <w:rFonts w:eastAsia="Calibri"/>
        </w:rPr>
        <w:t>Bid</w:t>
      </w:r>
      <w:r w:rsidRPr="00557C5B">
        <w:rPr>
          <w:rFonts w:eastAsia="Calibri"/>
        </w:rPr>
        <w:t>ations</w:t>
      </w:r>
      <w:proofErr w:type="spellEnd"/>
      <w:r w:rsidRPr="00557C5B">
        <w:rPr>
          <w:rFonts w:eastAsia="Calibri"/>
        </w:rPr>
        <w:t xml:space="preserve"> shall be covered by Licensor’s comprehensive general liability insurance policy.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12</w:t>
      </w:r>
      <w:r w:rsidRPr="00557C5B">
        <w:rPr>
          <w:rFonts w:eastAsia="Calibri"/>
          <w:b/>
          <w:bCs/>
        </w:rPr>
        <w:tab/>
        <w:t>MODIFICATION OR RENEGOTIATION</w:t>
      </w:r>
    </w:p>
    <w:p w:rsidR="00557C5B" w:rsidRPr="00557C5B" w:rsidRDefault="00557C5B" w:rsidP="00557C5B">
      <w:pPr>
        <w:widowControl w:val="0"/>
        <w:autoSpaceDE w:val="0"/>
        <w:autoSpaceDN w:val="0"/>
        <w:adjustRightInd w:val="0"/>
        <w:jc w:val="both"/>
        <w:rPr>
          <w:rFonts w:eastAsia="Calibri"/>
        </w:rPr>
      </w:pPr>
      <w:r w:rsidRPr="00557C5B">
        <w:rPr>
          <w:rFonts w:eastAsia="Calibri"/>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13</w:t>
      </w:r>
      <w:r w:rsidRPr="00557C5B">
        <w:rPr>
          <w:rFonts w:eastAsia="Calibri"/>
          <w:b/>
          <w:bCs/>
        </w:rPr>
        <w:tab/>
        <w:t>AUTHORITY, ASSIGNMENT AND SUBCONTRACTS</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13.1</w:t>
      </w:r>
      <w:r w:rsidRPr="00557C5B">
        <w:rPr>
          <w:rFonts w:eastAsia="Calibri"/>
        </w:rPr>
        <w:tab/>
        <w:t>In matters of bids,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557C5B" w:rsidRPr="00557C5B" w:rsidRDefault="00557C5B" w:rsidP="00557C5B">
      <w:pPr>
        <w:widowControl w:val="0"/>
        <w:autoSpaceDE w:val="0"/>
        <w:autoSpaceDN w:val="0"/>
        <w:adjustRightInd w:val="0"/>
        <w:jc w:val="both"/>
        <w:rPr>
          <w:rFonts w:eastAsia="Calibri"/>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13.2</w:t>
      </w:r>
      <w:r w:rsidRPr="00557C5B">
        <w:rPr>
          <w:rFonts w:eastAsia="Calibri"/>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13.3</w:t>
      </w:r>
      <w:r w:rsidRPr="00557C5B">
        <w:rPr>
          <w:rFonts w:eastAsia="Calibri"/>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13.4</w:t>
      </w:r>
      <w:r w:rsidRPr="00557C5B">
        <w:rPr>
          <w:rFonts w:eastAsia="Calibri"/>
          <w:b/>
          <w:bCs/>
        </w:rPr>
        <w:tab/>
      </w:r>
      <w:r w:rsidRPr="00557C5B">
        <w:rPr>
          <w:rFonts w:eastAsia="Calibri"/>
        </w:rPr>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w:t>
      </w:r>
      <w:r w:rsidRPr="00557C5B">
        <w:rPr>
          <w:rFonts w:eastAsia="Calibri"/>
        </w:rPr>
        <w:lastRenderedPageBreak/>
        <w:t xml:space="preserve">acknowledges that no </w:t>
      </w:r>
      <w:proofErr w:type="spellStart"/>
      <w:r w:rsidRPr="00557C5B">
        <w:rPr>
          <w:rFonts w:eastAsia="Calibri"/>
        </w:rPr>
        <w:t>privity</w:t>
      </w:r>
      <w:proofErr w:type="spellEnd"/>
      <w:r w:rsidRPr="00557C5B">
        <w:rPr>
          <w:rFonts w:eastAsia="Calibri"/>
        </w:rPr>
        <w:t xml:space="preserve">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13.5</w:t>
      </w:r>
      <w:r w:rsidRPr="00557C5B">
        <w:rPr>
          <w:rFonts w:eastAsia="Calibri"/>
        </w:rPr>
        <w:tab/>
        <w:t>All subcontractors shall be bound by any negotiation, arbitration, appeal, adjudication or settlement of any dispute between the Licensor and the Licensee, where such dispute affects the subcontract.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ARTICLE 14</w:t>
      </w:r>
      <w:r w:rsidRPr="00557C5B">
        <w:rPr>
          <w:rFonts w:eastAsia="Calibri"/>
          <w:b/>
          <w:bCs/>
        </w:rPr>
        <w:tab/>
        <w:t>AVAILABILITY OF FUNDS</w:t>
      </w:r>
    </w:p>
    <w:p w:rsidR="00557C5B" w:rsidRPr="00557C5B" w:rsidRDefault="00557C5B" w:rsidP="00557C5B">
      <w:pPr>
        <w:widowControl w:val="0"/>
        <w:autoSpaceDE w:val="0"/>
        <w:autoSpaceDN w:val="0"/>
        <w:adjustRightInd w:val="0"/>
        <w:jc w:val="both"/>
        <w:rPr>
          <w:rFonts w:eastAsia="Calibri"/>
        </w:rPr>
      </w:pPr>
      <w:r w:rsidRPr="00557C5B">
        <w:rPr>
          <w:rFonts w:eastAsia="Calibri"/>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15  TERMINATION</w:t>
      </w:r>
      <w:proofErr w:type="gramEnd"/>
    </w:p>
    <w:p w:rsidR="00557C5B" w:rsidRPr="00557C5B" w:rsidRDefault="00557C5B" w:rsidP="00557C5B">
      <w:pPr>
        <w:widowControl w:val="0"/>
        <w:autoSpaceDE w:val="0"/>
        <w:autoSpaceDN w:val="0"/>
        <w:adjustRightInd w:val="0"/>
        <w:jc w:val="both"/>
        <w:rPr>
          <w:rFonts w:eastAsia="Calibri"/>
          <w:u w:val="single"/>
        </w:rPr>
      </w:pPr>
      <w:r w:rsidRPr="00557C5B">
        <w:rPr>
          <w:rFonts w:eastAsia="Calibri"/>
          <w:b/>
          <w:bCs/>
        </w:rPr>
        <w:t>15.1</w:t>
      </w:r>
      <w:r w:rsidRPr="00557C5B">
        <w:rPr>
          <w:rFonts w:eastAsia="Calibri"/>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15.2</w:t>
      </w:r>
      <w:r w:rsidRPr="00557C5B">
        <w:rPr>
          <w:rFonts w:eastAsia="Calibri"/>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16  GOVERNING</w:t>
      </w:r>
      <w:proofErr w:type="gramEnd"/>
      <w:r w:rsidRPr="00557C5B">
        <w:rPr>
          <w:rFonts w:eastAsia="Calibri"/>
          <w:b/>
          <w:bCs/>
        </w:rPr>
        <w:t xml:space="preserve"> LAW</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This Agreement shall be construed and governed in accordance with the laws of the State of Mississippi and venue for the resolution of any dispute shall be Jackson, Hinds County, </w:t>
      </w:r>
      <w:r w:rsidRPr="00557C5B">
        <w:rPr>
          <w:rFonts w:eastAsia="Calibri"/>
        </w:rPr>
        <w:lastRenderedPageBreak/>
        <w:t>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17  WAIVER</w:t>
      </w:r>
      <w:proofErr w:type="gramEnd"/>
    </w:p>
    <w:p w:rsidR="00557C5B" w:rsidRPr="00557C5B" w:rsidRDefault="00557C5B" w:rsidP="00557C5B">
      <w:pPr>
        <w:widowControl w:val="0"/>
        <w:autoSpaceDE w:val="0"/>
        <w:autoSpaceDN w:val="0"/>
        <w:adjustRightInd w:val="0"/>
        <w:jc w:val="both"/>
        <w:rPr>
          <w:rFonts w:eastAsia="Calibri"/>
        </w:rPr>
      </w:pPr>
      <w:r w:rsidRPr="00557C5B">
        <w:rPr>
          <w:rFonts w:eastAsia="Calibri"/>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18  SEVERABILITY</w:t>
      </w:r>
      <w:proofErr w:type="gramEnd"/>
    </w:p>
    <w:p w:rsidR="00557C5B" w:rsidRPr="00557C5B" w:rsidRDefault="00557C5B" w:rsidP="00557C5B">
      <w:pPr>
        <w:widowControl w:val="0"/>
        <w:autoSpaceDE w:val="0"/>
        <w:autoSpaceDN w:val="0"/>
        <w:adjustRightInd w:val="0"/>
        <w:jc w:val="both"/>
        <w:rPr>
          <w:rFonts w:eastAsia="Calibri"/>
        </w:rPr>
      </w:pPr>
      <w:r w:rsidRPr="00557C5B">
        <w:rPr>
          <w:rFonts w:eastAsia="Calibri"/>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19  CAPTIONS</w:t>
      </w:r>
      <w:proofErr w:type="gramEnd"/>
    </w:p>
    <w:p w:rsidR="00557C5B" w:rsidRPr="00557C5B" w:rsidRDefault="00557C5B" w:rsidP="00557C5B">
      <w:pPr>
        <w:widowControl w:val="0"/>
        <w:autoSpaceDE w:val="0"/>
        <w:autoSpaceDN w:val="0"/>
        <w:adjustRightInd w:val="0"/>
        <w:jc w:val="both"/>
        <w:rPr>
          <w:rFonts w:eastAsia="Calibri"/>
        </w:rPr>
      </w:pPr>
      <w:r w:rsidRPr="00557C5B">
        <w:rPr>
          <w:rFonts w:eastAsia="Calibri"/>
        </w:rPr>
        <w:t>The captions or headings in this Agreement are for convenience only, and in no way define, limit or describe the scope or intent of any provision or Article in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20  HOLD</w:t>
      </w:r>
      <w:proofErr w:type="gramEnd"/>
      <w:r w:rsidRPr="00557C5B">
        <w:rPr>
          <w:rFonts w:eastAsia="Calibri"/>
          <w:b/>
          <w:bCs/>
        </w:rPr>
        <w:t xml:space="preserve"> HARMLESS</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21  THIRD</w:t>
      </w:r>
      <w:proofErr w:type="gramEnd"/>
      <w:r w:rsidRPr="00557C5B">
        <w:rPr>
          <w:rFonts w:eastAsia="Calibri"/>
          <w:b/>
          <w:bCs/>
        </w:rPr>
        <w:t xml:space="preserve"> PARTY ACTION NOTIFICATION</w:t>
      </w:r>
    </w:p>
    <w:p w:rsidR="00557C5B" w:rsidRPr="00557C5B" w:rsidRDefault="00557C5B" w:rsidP="00557C5B">
      <w:pPr>
        <w:widowControl w:val="0"/>
        <w:autoSpaceDE w:val="0"/>
        <w:autoSpaceDN w:val="0"/>
        <w:adjustRightInd w:val="0"/>
        <w:jc w:val="both"/>
        <w:rPr>
          <w:rFonts w:eastAsia="Calibri"/>
        </w:rPr>
      </w:pPr>
      <w:r w:rsidRPr="00557C5B">
        <w:rPr>
          <w:rFonts w:eastAsia="Calibri"/>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22  AUTHORITY</w:t>
      </w:r>
      <w:proofErr w:type="gramEnd"/>
      <w:r w:rsidRPr="00557C5B">
        <w:rPr>
          <w:rFonts w:eastAsia="Calibri"/>
          <w:b/>
          <w:bCs/>
        </w:rPr>
        <w:t xml:space="preserve"> TO CONTRACT</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w:t>
      </w:r>
      <w:r w:rsidRPr="00557C5B">
        <w:rPr>
          <w:rFonts w:eastAsia="Calibri"/>
        </w:rPr>
        <w:lastRenderedPageBreak/>
        <w:t>ability to perform its obligations under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23  NOTICE</w:t>
      </w:r>
      <w:proofErr w:type="gramEnd"/>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w:t>
      </w:r>
      <w:proofErr w:type="spellStart"/>
      <w:r w:rsidRPr="00557C5B">
        <w:rPr>
          <w:rFonts w:eastAsia="Calibri"/>
        </w:rPr>
        <w:t>Orgeron</w:t>
      </w:r>
      <w:proofErr w:type="spellEnd"/>
      <w:r w:rsidRPr="00557C5B">
        <w:rPr>
          <w:rFonts w:eastAsia="Calibri"/>
        </w:rPr>
        <w:t xml:space="preserve">, Ph.D., Executive Director, Mississippi Department of Information Technology Services, 3771 Eastwood Drive, Jackson, Mississippi 39211. Licensee’s address for notice is: </w:t>
      </w:r>
      <w:bookmarkStart w:id="128" w:name="agencycontname"/>
      <w:bookmarkEnd w:id="128"/>
      <w:r w:rsidRPr="00557C5B">
        <w:rPr>
          <w:rFonts w:eastAsia="Calibri"/>
        </w:rPr>
        <w:t xml:space="preserve">Mr. Mike Roberts, </w:t>
      </w:r>
      <w:bookmarkStart w:id="129" w:name="agencyconttitle"/>
      <w:bookmarkEnd w:id="129"/>
      <w:r w:rsidRPr="00557C5B">
        <w:rPr>
          <w:rFonts w:eastAsia="Calibri"/>
        </w:rPr>
        <w:t xml:space="preserve">Information Systems Procurement Manager, </w:t>
      </w:r>
      <w:bookmarkStart w:id="130" w:name="agencycontcomp"/>
      <w:bookmarkEnd w:id="130"/>
      <w:r w:rsidRPr="00557C5B">
        <w:rPr>
          <w:rFonts w:eastAsia="Calibri"/>
        </w:rPr>
        <w:t xml:space="preserve">Mississippi Department of Transportation, </w:t>
      </w:r>
      <w:bookmarkStart w:id="131" w:name="agencycontstreet"/>
      <w:bookmarkEnd w:id="131"/>
      <w:proofErr w:type="gramStart"/>
      <w:r w:rsidRPr="00557C5B">
        <w:rPr>
          <w:rFonts w:eastAsia="Calibri"/>
        </w:rPr>
        <w:t>401</w:t>
      </w:r>
      <w:proofErr w:type="gramEnd"/>
      <w:r w:rsidRPr="00557C5B">
        <w:rPr>
          <w:rFonts w:eastAsia="Calibri"/>
        </w:rPr>
        <w:t xml:space="preserve"> North West Street, </w:t>
      </w:r>
      <w:bookmarkStart w:id="132" w:name="agencycontcity"/>
      <w:bookmarkEnd w:id="132"/>
      <w:r w:rsidRPr="00557C5B">
        <w:rPr>
          <w:rFonts w:eastAsia="Calibri"/>
        </w:rPr>
        <w:t xml:space="preserve">Jackson, </w:t>
      </w:r>
      <w:bookmarkStart w:id="133" w:name="agencycontstate"/>
      <w:bookmarkEnd w:id="133"/>
      <w:r w:rsidRPr="00557C5B">
        <w:rPr>
          <w:rFonts w:eastAsia="Calibri"/>
        </w:rPr>
        <w:t xml:space="preserve">Mississippi </w:t>
      </w:r>
      <w:bookmarkStart w:id="134" w:name="agencycontzip"/>
      <w:bookmarkEnd w:id="134"/>
      <w:r w:rsidRPr="00557C5B">
        <w:rPr>
          <w:rFonts w:eastAsia="Calibri"/>
        </w:rPr>
        <w:t xml:space="preserve">39201. The Licensor’s address for notice is: </w:t>
      </w:r>
      <w:bookmarkStart w:id="135" w:name="vendorcontname"/>
      <w:bookmarkEnd w:id="135"/>
      <w:r>
        <w:rPr>
          <w:rFonts w:eastAsia="Calibri"/>
          <w:highlight w:val="yellow"/>
        </w:rPr>
        <w:t>BIDDER</w:t>
      </w:r>
      <w:r w:rsidRPr="00557C5B">
        <w:rPr>
          <w:rFonts w:eastAsia="Calibri"/>
          <w:highlight w:val="yellow"/>
        </w:rPr>
        <w:t xml:space="preserve"> NOTICE INFORMATION</w:t>
      </w:r>
      <w:bookmarkStart w:id="136" w:name="vendorcontzip"/>
      <w:bookmarkEnd w:id="136"/>
      <w:r w:rsidRPr="00557C5B">
        <w:rPr>
          <w:rFonts w:eastAsia="Calibri"/>
        </w:rPr>
        <w:t>. Notice shall be deemed given when actually received or when refused. The parties agree to promptly notify each other in writing of any change of address.</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24  RECORD</w:t>
      </w:r>
      <w:proofErr w:type="gramEnd"/>
      <w:r w:rsidRPr="00557C5B">
        <w:rPr>
          <w:rFonts w:eastAsia="Calibri"/>
          <w:b/>
          <w:bCs/>
        </w:rPr>
        <w:t xml:space="preserve"> RETENTION AND ACCESS TO RECORDS</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557C5B">
        <w:rPr>
          <w:rFonts w:eastAsia="Calibri"/>
          <w:bCs/>
        </w:rPr>
        <w:t>this Agreement and to</w:t>
      </w:r>
      <w:r w:rsidRPr="00557C5B">
        <w:rPr>
          <w:rFonts w:eastAsia="Calibri"/>
        </w:rPr>
        <w:t xml:space="preserve"> any of the Licensor’s </w:t>
      </w:r>
      <w:r w:rsidRPr="00557C5B">
        <w:rPr>
          <w:rFonts w:eastAsia="Calibri"/>
          <w:bCs/>
        </w:rPr>
        <w:t>bids,</w:t>
      </w:r>
      <w:r w:rsidRPr="00557C5B">
        <w:rPr>
          <w:rFonts w:eastAsia="Calibri"/>
        </w:rPr>
        <w:t xml:space="preserve"> books, documents, papers and/or records that are pertinent to this Agreement to make audits, </w:t>
      </w:r>
      <w:r w:rsidRPr="00557C5B">
        <w:rPr>
          <w:rFonts w:eastAsia="Calibri"/>
          <w:bCs/>
        </w:rPr>
        <w:t>copies,</w:t>
      </w:r>
      <w:r w:rsidRPr="00557C5B">
        <w:rPr>
          <w:rFonts w:eastAsia="Calibri"/>
        </w:rPr>
        <w:t xml:space="preserve"> examinations, excerpts and transcriptions at the </w:t>
      </w:r>
      <w:r w:rsidRPr="00557C5B">
        <w:rPr>
          <w:rFonts w:eastAsia="Calibri"/>
          <w:bCs/>
        </w:rPr>
        <w:t>State’s or</w:t>
      </w:r>
      <w:r w:rsidRPr="00557C5B">
        <w:rPr>
          <w:rFonts w:eastAsia="Calibri"/>
        </w:rPr>
        <w:t xml:space="preserve"> Licensor’s office </w:t>
      </w:r>
      <w:r w:rsidRPr="00557C5B">
        <w:rPr>
          <w:rFonts w:eastAsia="Calibri"/>
          <w:bCs/>
        </w:rPr>
        <w:t>as applicable</w:t>
      </w:r>
      <w:r w:rsidRPr="00557C5B">
        <w:rPr>
          <w:rFonts w:eastAsia="Calibri"/>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25  INSURANCE</w:t>
      </w:r>
      <w:proofErr w:type="gramEnd"/>
    </w:p>
    <w:p w:rsidR="00557C5B" w:rsidRPr="00557C5B" w:rsidRDefault="00557C5B" w:rsidP="00557C5B">
      <w:pPr>
        <w:widowControl w:val="0"/>
        <w:autoSpaceDE w:val="0"/>
        <w:autoSpaceDN w:val="0"/>
        <w:adjustRightInd w:val="0"/>
        <w:jc w:val="both"/>
        <w:rPr>
          <w:rFonts w:eastAsia="Calibri"/>
        </w:rPr>
      </w:pPr>
      <w:r w:rsidRPr="00557C5B">
        <w:rPr>
          <w:rFonts w:eastAsia="Calibri"/>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26  DISPUTES</w:t>
      </w:r>
      <w:proofErr w:type="gramEnd"/>
    </w:p>
    <w:p w:rsidR="00557C5B" w:rsidRPr="00557C5B" w:rsidRDefault="00557C5B" w:rsidP="00557C5B">
      <w:pPr>
        <w:widowControl w:val="0"/>
        <w:autoSpaceDE w:val="0"/>
        <w:autoSpaceDN w:val="0"/>
        <w:adjustRightInd w:val="0"/>
        <w:jc w:val="both"/>
        <w:rPr>
          <w:rFonts w:eastAsia="Calibri"/>
        </w:rPr>
      </w:pPr>
      <w:r w:rsidRPr="00557C5B">
        <w:rPr>
          <w:rFonts w:eastAsia="Calibri"/>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27  COMPLIANCE</w:t>
      </w:r>
      <w:proofErr w:type="gramEnd"/>
      <w:r w:rsidRPr="00557C5B">
        <w:rPr>
          <w:rFonts w:eastAsia="Calibri"/>
          <w:b/>
          <w:bCs/>
        </w:rPr>
        <w:t xml:space="preserve"> WITH LAWS</w:t>
      </w:r>
    </w:p>
    <w:p w:rsidR="00557C5B" w:rsidRPr="00557C5B" w:rsidRDefault="00557C5B" w:rsidP="00557C5B">
      <w:pPr>
        <w:widowControl w:val="0"/>
        <w:autoSpaceDE w:val="0"/>
        <w:autoSpaceDN w:val="0"/>
        <w:adjustRightInd w:val="0"/>
        <w:jc w:val="both"/>
        <w:rPr>
          <w:rFonts w:eastAsia="Calibri"/>
        </w:rPr>
      </w:pPr>
      <w:r w:rsidRPr="00557C5B">
        <w:rPr>
          <w:rFonts w:eastAsia="Calibri"/>
          <w:b/>
        </w:rPr>
        <w:t>27.1</w:t>
      </w:r>
      <w:r w:rsidRPr="00557C5B">
        <w:rPr>
          <w:rFonts w:eastAsia="Calibri"/>
        </w:rPr>
        <w:tab/>
        <w:t xml:space="preserve">Licensor shall comply with, and all activities under this Agreement shall be subject to, all Licensee policies and procedures which Licensor has received copies of, and all applicable federal, state, and </w:t>
      </w:r>
      <w:proofErr w:type="spellStart"/>
      <w:r w:rsidR="009A0EB9">
        <w:rPr>
          <w:rFonts w:eastAsia="Calibri"/>
        </w:rPr>
        <w:t>Bid</w:t>
      </w:r>
      <w:r w:rsidRPr="00557C5B">
        <w:rPr>
          <w:rFonts w:eastAsia="Calibri"/>
        </w:rPr>
        <w:t>al</w:t>
      </w:r>
      <w:proofErr w:type="spellEnd"/>
      <w:r w:rsidRPr="00557C5B">
        <w:rPr>
          <w:rFonts w:eastAsia="Calibri"/>
        </w:rPr>
        <w:t xml:space="preserve"> laws, regulations, policies and procedures as now existing and as may be amended or modified. Specifically, but not limited to, Licensor shall not discriminate against any employee nor shall any party be subject to discrimination in the performance of this </w:t>
      </w:r>
      <w:r w:rsidRPr="00557C5B">
        <w:rPr>
          <w:rFonts w:eastAsia="Calibri"/>
        </w:rPr>
        <w:lastRenderedPageBreak/>
        <w:t>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557C5B" w:rsidRPr="00557C5B" w:rsidRDefault="00557C5B" w:rsidP="00557C5B">
      <w:pPr>
        <w:tabs>
          <w:tab w:val="left" w:pos="6024"/>
        </w:tabs>
        <w:autoSpaceDN w:val="0"/>
        <w:jc w:val="both"/>
        <w:rPr>
          <w:rFonts w:eastAsia="Calibri"/>
        </w:rPr>
      </w:pPr>
      <w:r w:rsidRPr="00557C5B">
        <w:rPr>
          <w:rFonts w:eastAsia="Calibri"/>
        </w:rPr>
        <w:tab/>
      </w:r>
    </w:p>
    <w:p w:rsidR="00557C5B" w:rsidRPr="00557C5B" w:rsidRDefault="00557C5B" w:rsidP="00557C5B">
      <w:pPr>
        <w:autoSpaceDN w:val="0"/>
        <w:jc w:val="both"/>
        <w:rPr>
          <w:rFonts w:eastAsia="Calibri"/>
        </w:rPr>
      </w:pPr>
      <w:r w:rsidRPr="00557C5B">
        <w:rPr>
          <w:rFonts w:eastAsia="Calibri"/>
          <w:b/>
        </w:rPr>
        <w:t>27.2</w:t>
      </w:r>
      <w:r w:rsidRPr="00557C5B">
        <w:rPr>
          <w:rFonts w:eastAsia="Calibri"/>
          <w:b/>
        </w:rPr>
        <w:tab/>
      </w:r>
      <w:r w:rsidRPr="00557C5B">
        <w:rPr>
          <w:rFonts w:eastAsia="Calibri"/>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28  CONFLICT</w:t>
      </w:r>
      <w:proofErr w:type="gramEnd"/>
      <w:r w:rsidRPr="00557C5B">
        <w:rPr>
          <w:rFonts w:eastAsia="Calibri"/>
          <w:b/>
          <w:bCs/>
        </w:rPr>
        <w:t xml:space="preserve"> OF INTEREST</w:t>
      </w:r>
    </w:p>
    <w:p w:rsidR="00557C5B" w:rsidRPr="00557C5B" w:rsidRDefault="00557C5B" w:rsidP="00557C5B">
      <w:pPr>
        <w:widowControl w:val="0"/>
        <w:autoSpaceDE w:val="0"/>
        <w:autoSpaceDN w:val="0"/>
        <w:adjustRightInd w:val="0"/>
        <w:jc w:val="both"/>
        <w:rPr>
          <w:rFonts w:eastAsia="Calibri"/>
        </w:rPr>
      </w:pPr>
      <w:r w:rsidRPr="00557C5B">
        <w:rPr>
          <w:rFonts w:eastAsia="Calibri"/>
        </w:rPr>
        <w:t>Licensor shall notify Licensee of any potential conflict of interest resulting from the provision of services to other customers. If such conflict cannot be resolved to Licensee’s satisfaction, Licensee reserves the right to terminate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29  SOVEREIGN</w:t>
      </w:r>
      <w:proofErr w:type="gramEnd"/>
      <w:r w:rsidRPr="00557C5B">
        <w:rPr>
          <w:rFonts w:eastAsia="Calibri"/>
          <w:b/>
          <w:bCs/>
        </w:rPr>
        <w:t xml:space="preserve"> IMMUNITY</w:t>
      </w:r>
    </w:p>
    <w:p w:rsidR="00557C5B" w:rsidRPr="00557C5B" w:rsidRDefault="00557C5B" w:rsidP="00557C5B">
      <w:pPr>
        <w:widowControl w:val="0"/>
        <w:autoSpaceDE w:val="0"/>
        <w:autoSpaceDN w:val="0"/>
        <w:adjustRightInd w:val="0"/>
        <w:jc w:val="both"/>
        <w:rPr>
          <w:rFonts w:eastAsia="Calibri"/>
        </w:rPr>
      </w:pPr>
      <w:r w:rsidRPr="00557C5B">
        <w:rPr>
          <w:rFonts w:eastAsia="Calibri"/>
        </w:rPr>
        <w:t>By entering into this Agreement with Licensor, the State of Mississippi does in no way waive its sovereign immunities or defenses as provided by law.</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30  CONFIDENTIAL</w:t>
      </w:r>
      <w:proofErr w:type="gramEnd"/>
      <w:r w:rsidRPr="00557C5B">
        <w:rPr>
          <w:rFonts w:eastAsia="Calibri"/>
          <w:b/>
          <w:bCs/>
        </w:rPr>
        <w:t xml:space="preserve"> INFORMATION</w:t>
      </w:r>
    </w:p>
    <w:p w:rsidR="00557C5B" w:rsidRPr="00557C5B" w:rsidRDefault="00557C5B" w:rsidP="00557C5B">
      <w:pPr>
        <w:widowControl w:val="0"/>
        <w:autoSpaceDE w:val="0"/>
        <w:autoSpaceDN w:val="0"/>
        <w:adjustRightInd w:val="0"/>
        <w:jc w:val="both"/>
        <w:rPr>
          <w:rFonts w:eastAsia="Calibri"/>
        </w:rPr>
      </w:pPr>
      <w:r w:rsidRPr="00557C5B">
        <w:rPr>
          <w:rFonts w:eastAsia="Calibri"/>
          <w:b/>
        </w:rPr>
        <w:t>30.1</w:t>
      </w:r>
      <w:r w:rsidRPr="00557C5B">
        <w:rPr>
          <w:rFonts w:eastAsia="Calibri"/>
          <w:b/>
        </w:rPr>
        <w:tab/>
      </w:r>
      <w:r w:rsidRPr="00557C5B">
        <w:rPr>
          <w:rFonts w:eastAsia="Calibri"/>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sidRPr="00557C5B">
        <w:rPr>
          <w:rFonts w:eastAsia="Calibri"/>
          <w:b/>
        </w:rPr>
        <w:t>30.2</w:t>
      </w:r>
      <w:r w:rsidRPr="00557C5B">
        <w:rPr>
          <w:rFonts w:eastAsia="Calibri"/>
          <w:b/>
        </w:rPr>
        <w:tab/>
      </w:r>
      <w:r w:rsidRPr="00557C5B">
        <w:rPr>
          <w:rFonts w:eastAsia="Calibri"/>
        </w:rPr>
        <w:t>With the exception of any attached exhibits which are labeled as "confidential", the parties understand and agree that this Agreement, including any amendments and/or change orders thereto, does</w:t>
      </w:r>
      <w:r w:rsidRPr="00557C5B">
        <w:rPr>
          <w:rFonts w:eastAsia="Calibri"/>
          <w:bCs/>
        </w:rPr>
        <w:t xml:space="preserve"> not constitute confidential information, and</w:t>
      </w:r>
      <w:r w:rsidRPr="00557C5B">
        <w:rPr>
          <w:rFonts w:eastAsia="Calibri"/>
        </w:rPr>
        <w:t xml:space="preserve">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557C5B" w:rsidRPr="00557C5B" w:rsidRDefault="00557C5B" w:rsidP="00557C5B">
      <w:pPr>
        <w:widowControl w:val="0"/>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p>
    <w:p w:rsidR="00557C5B" w:rsidRPr="00557C5B" w:rsidRDefault="00557C5B" w:rsidP="00557C5B">
      <w:pPr>
        <w:widowControl w:val="0"/>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sidRPr="00557C5B">
        <w:rPr>
          <w:rFonts w:eastAsia="Calibri"/>
          <w:b/>
        </w:rPr>
        <w:t>30.3</w:t>
      </w:r>
      <w:r w:rsidRPr="00557C5B">
        <w:rPr>
          <w:rFonts w:eastAsia="Calibri"/>
          <w:b/>
        </w:rPr>
        <w:tab/>
      </w:r>
      <w:r w:rsidRPr="00557C5B">
        <w:rPr>
          <w:rFonts w:eastAsia="Calibri"/>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31  EFFECT</w:t>
      </w:r>
      <w:proofErr w:type="gramEnd"/>
      <w:r w:rsidRPr="00557C5B">
        <w:rPr>
          <w:rFonts w:eastAsia="Calibri"/>
          <w:b/>
          <w:bCs/>
        </w:rPr>
        <w:t xml:space="preserve"> OF SIGNATURE</w:t>
      </w:r>
    </w:p>
    <w:p w:rsidR="00557C5B" w:rsidRPr="00557C5B" w:rsidRDefault="00557C5B" w:rsidP="00557C5B">
      <w:pPr>
        <w:widowControl w:val="0"/>
        <w:autoSpaceDE w:val="0"/>
        <w:autoSpaceDN w:val="0"/>
        <w:adjustRightInd w:val="0"/>
        <w:jc w:val="both"/>
        <w:rPr>
          <w:rFonts w:eastAsia="Calibri"/>
        </w:rPr>
      </w:pPr>
      <w:r w:rsidRPr="00557C5B">
        <w:rPr>
          <w:rFonts w:eastAsia="Calibri"/>
        </w:rPr>
        <w:lastRenderedPageBreak/>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32  NON</w:t>
      </w:r>
      <w:proofErr w:type="gramEnd"/>
      <w:r w:rsidRPr="00557C5B">
        <w:rPr>
          <w:rFonts w:eastAsia="Calibri"/>
          <w:b/>
          <w:bCs/>
        </w:rPr>
        <w:t>-SOLICITATION OF EMPLOYEES</w:t>
      </w:r>
    </w:p>
    <w:p w:rsidR="00557C5B" w:rsidRPr="00557C5B" w:rsidRDefault="00557C5B" w:rsidP="00557C5B">
      <w:pPr>
        <w:widowControl w:val="0"/>
        <w:autoSpaceDE w:val="0"/>
        <w:autoSpaceDN w:val="0"/>
        <w:adjustRightInd w:val="0"/>
        <w:jc w:val="both"/>
        <w:rPr>
          <w:rFonts w:eastAsia="Calibri"/>
        </w:rPr>
      </w:pPr>
      <w:r w:rsidRPr="00557C5B">
        <w:rPr>
          <w:rFonts w:eastAsia="Calibri"/>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 xml:space="preserve">ARTICLE </w:t>
      </w:r>
      <w:proofErr w:type="gramStart"/>
      <w:r w:rsidRPr="00557C5B">
        <w:rPr>
          <w:rFonts w:eastAsia="Calibri"/>
          <w:b/>
          <w:bCs/>
        </w:rPr>
        <w:t>33  ENTIRE</w:t>
      </w:r>
      <w:proofErr w:type="gramEnd"/>
      <w:r w:rsidRPr="00557C5B">
        <w:rPr>
          <w:rFonts w:eastAsia="Calibri"/>
          <w:b/>
          <w:bCs/>
        </w:rPr>
        <w:t xml:space="preserve"> AGREEMENT</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33.1</w:t>
      </w:r>
      <w:r w:rsidRPr="00557C5B">
        <w:rPr>
          <w:rFonts w:eastAsia="Calibri"/>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IFB No. </w:t>
      </w:r>
      <w:bookmarkStart w:id="137" w:name="rfpnumber3"/>
      <w:bookmarkEnd w:id="137"/>
      <w:r w:rsidRPr="00557C5B">
        <w:rPr>
          <w:rFonts w:eastAsia="Calibri"/>
        </w:rPr>
        <w:t>4134 and Licensor’s Bid, as accepted by the State, in response thereto are hereby incorporated into and made a part of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33.2</w:t>
      </w:r>
      <w:r w:rsidRPr="00557C5B">
        <w:rPr>
          <w:rFonts w:eastAsia="Calibri"/>
        </w:rPr>
        <w:tab/>
        <w:t>The contract made by and between the parties hereto shall consist of, and precedence is hereby established by the order of the following:</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A.</w:t>
      </w:r>
      <w:r w:rsidRPr="00557C5B">
        <w:rPr>
          <w:rFonts w:eastAsia="Calibri"/>
          <w:b/>
          <w:bCs/>
        </w:rPr>
        <w:tab/>
      </w:r>
      <w:r w:rsidRPr="00557C5B">
        <w:rPr>
          <w:rFonts w:eastAsia="Calibri"/>
        </w:rPr>
        <w:t xml:space="preserve">This Agreement signed by the parties hereto; </w:t>
      </w: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B.</w:t>
      </w:r>
      <w:r w:rsidRPr="00557C5B">
        <w:rPr>
          <w:rFonts w:eastAsia="Calibri"/>
          <w:b/>
          <w:bCs/>
        </w:rPr>
        <w:tab/>
      </w:r>
      <w:r w:rsidRPr="00557C5B">
        <w:rPr>
          <w:rFonts w:eastAsia="Calibri"/>
        </w:rPr>
        <w:t>Any exhibits attached to this Agreement;</w:t>
      </w:r>
    </w:p>
    <w:p w:rsidR="00557C5B" w:rsidRPr="00557C5B" w:rsidRDefault="00557C5B" w:rsidP="00557C5B">
      <w:pPr>
        <w:widowControl w:val="0"/>
        <w:autoSpaceDE w:val="0"/>
        <w:autoSpaceDN w:val="0"/>
        <w:adjustRightInd w:val="0"/>
        <w:jc w:val="both"/>
        <w:rPr>
          <w:rFonts w:eastAsia="Calibri"/>
        </w:rPr>
      </w:pPr>
      <w:r w:rsidRPr="00557C5B">
        <w:rPr>
          <w:rFonts w:eastAsia="Calibri"/>
          <w:b/>
        </w:rPr>
        <w:t>C.</w:t>
      </w:r>
      <w:r w:rsidRPr="00557C5B">
        <w:rPr>
          <w:rFonts w:eastAsia="Calibri"/>
          <w:b/>
        </w:rPr>
        <w:tab/>
      </w:r>
      <w:r w:rsidRPr="00557C5B">
        <w:rPr>
          <w:rFonts w:eastAsia="Calibri"/>
        </w:rPr>
        <w:t xml:space="preserve">IFB No.  </w:t>
      </w:r>
      <w:bookmarkStart w:id="138" w:name="rfpnumber4"/>
      <w:bookmarkEnd w:id="138"/>
      <w:r w:rsidRPr="00557C5B">
        <w:rPr>
          <w:rFonts w:eastAsia="Calibri"/>
        </w:rPr>
        <w:t>4134 and written addenda, and</w:t>
      </w:r>
    </w:p>
    <w:p w:rsidR="00557C5B" w:rsidRPr="00557C5B" w:rsidRDefault="00557C5B" w:rsidP="00557C5B">
      <w:pPr>
        <w:widowControl w:val="0"/>
        <w:autoSpaceDE w:val="0"/>
        <w:autoSpaceDN w:val="0"/>
        <w:adjustRightInd w:val="0"/>
        <w:jc w:val="both"/>
        <w:rPr>
          <w:rFonts w:eastAsia="Calibri"/>
        </w:rPr>
      </w:pPr>
      <w:r w:rsidRPr="00557C5B">
        <w:rPr>
          <w:rFonts w:eastAsia="Calibri"/>
          <w:b/>
        </w:rPr>
        <w:t>D.</w:t>
      </w:r>
      <w:r w:rsidRPr="00557C5B">
        <w:rPr>
          <w:rFonts w:eastAsia="Calibri"/>
          <w:b/>
        </w:rPr>
        <w:tab/>
      </w:r>
      <w:r w:rsidRPr="00557C5B">
        <w:rPr>
          <w:rFonts w:eastAsia="Calibri"/>
        </w:rPr>
        <w:t>Licensor’s Bid, as accepted by the State, in response to the IFB.</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33.3</w:t>
      </w:r>
      <w:r w:rsidRPr="00557C5B">
        <w:rPr>
          <w:rFonts w:eastAsia="Calibri"/>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Bid”).</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34  STATE</w:t>
      </w:r>
      <w:proofErr w:type="gramEnd"/>
      <w:r w:rsidRPr="00557C5B">
        <w:rPr>
          <w:rFonts w:eastAsia="Calibri"/>
          <w:b/>
          <w:bCs/>
        </w:rPr>
        <w:t xml:space="preserve"> PROPERTY</w:t>
      </w:r>
    </w:p>
    <w:p w:rsidR="00557C5B" w:rsidRPr="00557C5B" w:rsidRDefault="00557C5B" w:rsidP="00557C5B">
      <w:pPr>
        <w:widowControl w:val="0"/>
        <w:autoSpaceDE w:val="0"/>
        <w:autoSpaceDN w:val="0"/>
        <w:adjustRightInd w:val="0"/>
        <w:jc w:val="both"/>
        <w:rPr>
          <w:rFonts w:eastAsia="Calibri"/>
        </w:rPr>
      </w:pPr>
      <w:r w:rsidRPr="00557C5B">
        <w:rPr>
          <w:rFonts w:eastAsia="Calibri"/>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35  SURVIVAL</w:t>
      </w:r>
      <w:proofErr w:type="gramEnd"/>
    </w:p>
    <w:p w:rsidR="00557C5B" w:rsidRPr="00557C5B" w:rsidRDefault="00557C5B" w:rsidP="00557C5B">
      <w:pPr>
        <w:widowControl w:val="0"/>
        <w:autoSpaceDE w:val="0"/>
        <w:autoSpaceDN w:val="0"/>
        <w:adjustRightInd w:val="0"/>
        <w:jc w:val="both"/>
        <w:rPr>
          <w:rFonts w:eastAsia="Calibri"/>
        </w:rPr>
      </w:pPr>
      <w:r w:rsidRPr="00557C5B">
        <w:rPr>
          <w:rFonts w:eastAsia="Calibri"/>
        </w:rPr>
        <w:t>Articles 7, 8, 16, 20, 24, 29, 30, 32, and all other articles which, by their express terms so survive or which should so reasonably survive, shall survive any termination or expiration of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36  DEBARMENT</w:t>
      </w:r>
      <w:proofErr w:type="gramEnd"/>
      <w:r w:rsidRPr="00557C5B">
        <w:rPr>
          <w:rFonts w:eastAsia="Calibri"/>
          <w:b/>
          <w:bCs/>
        </w:rPr>
        <w:t xml:space="preserve"> AND SUSPENSION CERTIFICATION</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w:t>
      </w:r>
      <w:proofErr w:type="spellStart"/>
      <w:r w:rsidR="009A0EB9">
        <w:rPr>
          <w:rFonts w:eastAsia="Calibri"/>
        </w:rPr>
        <w:t>Bid</w:t>
      </w:r>
      <w:r w:rsidRPr="00557C5B">
        <w:rPr>
          <w:rFonts w:eastAsia="Calibri"/>
        </w:rPr>
        <w:t>al</w:t>
      </w:r>
      <w:proofErr w:type="spellEnd"/>
      <w:r w:rsidRPr="00557C5B">
        <w:rPr>
          <w:rFonts w:eastAsia="Calibri"/>
        </w:rPr>
        <w:t xml:space="preserve">)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w:t>
      </w:r>
      <w:proofErr w:type="spellStart"/>
      <w:r w:rsidR="009A0EB9">
        <w:rPr>
          <w:rFonts w:eastAsia="Calibri"/>
        </w:rPr>
        <w:t>Bid</w:t>
      </w:r>
      <w:r w:rsidRPr="00557C5B">
        <w:rPr>
          <w:rFonts w:eastAsia="Calibri"/>
        </w:rPr>
        <w:t>al</w:t>
      </w:r>
      <w:proofErr w:type="spellEnd"/>
      <w:r w:rsidRPr="00557C5B">
        <w:rPr>
          <w:rFonts w:eastAsia="Calibri"/>
        </w:rPr>
        <w:t xml:space="preserve">)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w:t>
      </w:r>
      <w:proofErr w:type="spellStart"/>
      <w:r w:rsidR="009A0EB9">
        <w:rPr>
          <w:rFonts w:eastAsia="Calibri"/>
        </w:rPr>
        <w:t>Bid</w:t>
      </w:r>
      <w:r w:rsidRPr="00557C5B">
        <w:rPr>
          <w:rFonts w:eastAsia="Calibri"/>
        </w:rPr>
        <w:t>al</w:t>
      </w:r>
      <w:proofErr w:type="spellEnd"/>
      <w:r w:rsidRPr="00557C5B">
        <w:rPr>
          <w:rFonts w:eastAsia="Calibri"/>
        </w:rPr>
        <w:t>) terminated for cause or default.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37  SPECIAL</w:t>
      </w:r>
      <w:proofErr w:type="gramEnd"/>
      <w:r w:rsidRPr="00557C5B">
        <w:rPr>
          <w:rFonts w:eastAsia="Calibri"/>
          <w:b/>
          <w:bCs/>
        </w:rPr>
        <w:t xml:space="preserve"> TERMS AND CONDITIONS</w:t>
      </w:r>
    </w:p>
    <w:p w:rsidR="00557C5B" w:rsidRPr="00557C5B" w:rsidRDefault="00557C5B" w:rsidP="00557C5B">
      <w:pPr>
        <w:widowControl w:val="0"/>
        <w:autoSpaceDE w:val="0"/>
        <w:autoSpaceDN w:val="0"/>
        <w:adjustRightInd w:val="0"/>
        <w:jc w:val="both"/>
        <w:rPr>
          <w:rFonts w:eastAsia="Calibri"/>
        </w:rPr>
      </w:pPr>
      <w:r w:rsidRPr="00557C5B">
        <w:rPr>
          <w:rFonts w:eastAsia="Calibri"/>
        </w:rPr>
        <w:t>It is understood and agreed by the parties to this Agreement that there are no special terms and conditions except as specifically provided in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 xml:space="preserve">ARTICLE </w:t>
      </w:r>
      <w:proofErr w:type="gramStart"/>
      <w:r w:rsidRPr="00557C5B">
        <w:rPr>
          <w:rFonts w:eastAsia="Calibri"/>
          <w:b/>
          <w:bCs/>
        </w:rPr>
        <w:t>38  STATUTORY</w:t>
      </w:r>
      <w:proofErr w:type="gramEnd"/>
      <w:r w:rsidRPr="00557C5B">
        <w:rPr>
          <w:rFonts w:eastAsia="Calibri"/>
          <w:b/>
          <w:bCs/>
        </w:rPr>
        <w:t xml:space="preserve"> AUTHORITY</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w:t>
      </w:r>
      <w:proofErr w:type="gramStart"/>
      <w:r w:rsidRPr="00557C5B">
        <w:rPr>
          <w:rFonts w:eastAsia="Calibri"/>
        </w:rPr>
        <w:t>ITS is</w:t>
      </w:r>
      <w:proofErr w:type="gramEnd"/>
      <w:r w:rsidRPr="00557C5B">
        <w:rPr>
          <w:rFonts w:eastAsia="Calibri"/>
        </w:rPr>
        <w:t xml:space="preserve"> not responsible for ensuring compliance with any guidelines, conditions, or requirements mandated by Licensee’s funding source.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ARTICLE 39</w:t>
      </w:r>
      <w:r w:rsidRPr="00557C5B">
        <w:rPr>
          <w:rFonts w:eastAsia="Calibri"/>
          <w:b/>
          <w:bCs/>
        </w:rPr>
        <w:tab/>
      </w:r>
      <w:r w:rsidRPr="00557C5B">
        <w:rPr>
          <w:rFonts w:eastAsia="Calibri"/>
          <w:b/>
          <w:bCs/>
          <w:color w:val="000000"/>
        </w:rPr>
        <w:t>COMPLIANCE WITH ENTERPRISE SECURITY POLICY</w:t>
      </w:r>
      <w:r w:rsidRPr="00557C5B">
        <w:rPr>
          <w:rFonts w:eastAsia="Calibri"/>
          <w:b/>
          <w:bCs/>
        </w:rPr>
        <w:t xml:space="preserve"> </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557C5B">
        <w:rPr>
          <w:rFonts w:eastAsia="Calibri"/>
          <w:bCs/>
        </w:rPr>
        <w:t>a</w:t>
      </w:r>
      <w:r w:rsidRPr="00557C5B">
        <w:rPr>
          <w:rFonts w:eastAsia="Calibri"/>
        </w:rPr>
        <w:t xml:space="preserve"> new policy during the term of this Agreement and require the Licensor to comply with same in the event the industry introduces more secure, robust solutions or practices that facilitate a more secure posture for the State of Mississippi.</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b/>
        </w:rPr>
      </w:pPr>
      <w:r w:rsidRPr="00557C5B">
        <w:rPr>
          <w:rFonts w:eastAsia="Calibri"/>
          <w:b/>
        </w:rPr>
        <w:t>ARTICLE 40</w:t>
      </w:r>
      <w:r w:rsidRPr="00557C5B">
        <w:rPr>
          <w:rFonts w:eastAsia="Calibri"/>
          <w:b/>
        </w:rPr>
        <w:tab/>
        <w:t>COMPLIANCE WITH ENTERPRISE CLOUD AND OFFSITE HOSTING SECURITY</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w:t>
      </w:r>
      <w:r w:rsidRPr="00557C5B">
        <w:rPr>
          <w:rFonts w:eastAsia="Calibri"/>
        </w:rPr>
        <w:lastRenderedPageBreak/>
        <w:t xml:space="preserve">term of this Agreement and require the Licensor to comply with same in the event the industry introduces more secure, robust solutions or practices that facilitate a more secure posture for the State of Mississippi.  </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ARTICLE 41</w:t>
      </w:r>
      <w:r w:rsidRPr="00557C5B">
        <w:rPr>
          <w:rFonts w:eastAsia="Calibri"/>
          <w:b/>
          <w:bCs/>
        </w:rPr>
        <w:tab/>
        <w:t xml:space="preserve">SOFTWARE SUPPORT AND MAINTENANCE </w:t>
      </w:r>
    </w:p>
    <w:p w:rsidR="00557C5B" w:rsidRPr="00557C5B" w:rsidRDefault="00557C5B" w:rsidP="00557C5B">
      <w:pPr>
        <w:autoSpaceDE w:val="0"/>
        <w:autoSpaceDN w:val="0"/>
        <w:adjustRightInd w:val="0"/>
        <w:jc w:val="both"/>
        <w:rPr>
          <w:rFonts w:eastAsia="Calibri"/>
        </w:rPr>
      </w:pPr>
      <w:r w:rsidRPr="00557C5B">
        <w:rPr>
          <w:rFonts w:eastAsia="Calibri"/>
          <w:b/>
          <w:bCs/>
        </w:rPr>
        <w:t>41.1</w:t>
      </w:r>
      <w:r w:rsidRPr="00557C5B">
        <w:rPr>
          <w:rFonts w:eastAsia="Calibri"/>
        </w:rPr>
        <w:tab/>
        <w:t xml:space="preserve">As part of the maintenance services, Licensor will maintain the Applications and Services in an operable condition according to the specifications contained in the technical manuals and as outlined in the IFB and Licensor’s Bid in response thereto.  Licensor shall provide Licensee with enhancements to the Applications as they are made generally available from time to time. </w:t>
      </w:r>
    </w:p>
    <w:p w:rsidR="00557C5B" w:rsidRPr="00557C5B" w:rsidRDefault="00557C5B" w:rsidP="00557C5B">
      <w:pPr>
        <w:autoSpaceDE w:val="0"/>
        <w:autoSpaceDN w:val="0"/>
        <w:adjustRightInd w:val="0"/>
        <w:jc w:val="both"/>
        <w:rPr>
          <w:rFonts w:eastAsia="Calibri"/>
          <w:b/>
          <w:bCs/>
        </w:rPr>
      </w:pPr>
    </w:p>
    <w:p w:rsidR="00557C5B" w:rsidRPr="00557C5B" w:rsidRDefault="00557C5B" w:rsidP="00557C5B">
      <w:pPr>
        <w:widowControl w:val="0"/>
        <w:autoSpaceDE w:val="0"/>
        <w:autoSpaceDN w:val="0"/>
        <w:adjustRightInd w:val="0"/>
        <w:jc w:val="both"/>
        <w:rPr>
          <w:rFonts w:eastAsia="Calibri"/>
        </w:rPr>
      </w:pPr>
      <w:r w:rsidRPr="00557C5B">
        <w:rPr>
          <w:rFonts w:eastAsia="Calibri"/>
          <w:b/>
          <w:bCs/>
        </w:rPr>
        <w:t>41.2</w:t>
      </w:r>
      <w:r w:rsidRPr="00557C5B">
        <w:rPr>
          <w:rFonts w:eastAsia="Calibri"/>
          <w:b/>
          <w:bCs/>
        </w:rPr>
        <w:tab/>
      </w:r>
      <w:r w:rsidRPr="00557C5B">
        <w:rPr>
          <w:rFonts w:eastAsia="Calibri"/>
        </w:rPr>
        <w:t xml:space="preserve">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w:t>
      </w:r>
      <w:proofErr w:type="spellStart"/>
      <w:r w:rsidR="009A0EB9">
        <w:rPr>
          <w:rFonts w:eastAsia="Calibri"/>
        </w:rPr>
        <w:t>Bid</w:t>
      </w:r>
      <w:r w:rsidRPr="00557C5B">
        <w:rPr>
          <w:rFonts w:eastAsia="Calibri"/>
        </w:rPr>
        <w:t>king</w:t>
      </w:r>
      <w:proofErr w:type="spellEnd"/>
      <w:r w:rsidRPr="00557C5B">
        <w:rPr>
          <w:rFonts w:eastAsia="Calibri"/>
        </w:rPr>
        <w:t xml:space="preserve">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rPr>
      </w:pPr>
      <w:r w:rsidRPr="00557C5B">
        <w:rPr>
          <w:rFonts w:eastAsia="Calibri"/>
          <w:b/>
          <w:bCs/>
        </w:rPr>
        <w:t>41.3</w:t>
      </w:r>
      <w:r w:rsidRPr="00557C5B">
        <w:rPr>
          <w:rFonts w:eastAsia="Calibri"/>
          <w:b/>
          <w:bCs/>
        </w:rPr>
        <w:tab/>
      </w:r>
      <w:r w:rsidRPr="00557C5B">
        <w:rPr>
          <w:rFonts w:eastAsia="Calibri"/>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rsidR="00557C5B" w:rsidRPr="00557C5B" w:rsidRDefault="00557C5B" w:rsidP="00557C5B">
      <w:pPr>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rPr>
      </w:pPr>
      <w:r w:rsidRPr="00557C5B">
        <w:rPr>
          <w:rFonts w:eastAsia="Calibri"/>
          <w:b/>
          <w:bCs/>
        </w:rPr>
        <w:t>41.4</w:t>
      </w:r>
      <w:r w:rsidRPr="00557C5B">
        <w:rPr>
          <w:rFonts w:eastAsia="Calibri"/>
          <w:b/>
          <w:bCs/>
        </w:rPr>
        <w:tab/>
      </w:r>
      <w:r w:rsidRPr="00557C5B">
        <w:rPr>
          <w:rFonts w:eastAsia="Calibri"/>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rsidR="00557C5B" w:rsidRPr="00557C5B" w:rsidRDefault="00557C5B" w:rsidP="00557C5B">
      <w:pPr>
        <w:autoSpaceDE w:val="0"/>
        <w:autoSpaceDN w:val="0"/>
        <w:adjustRightInd w:val="0"/>
        <w:jc w:val="both"/>
        <w:rPr>
          <w:rFonts w:eastAsia="Calibri"/>
        </w:rPr>
      </w:pPr>
    </w:p>
    <w:p w:rsidR="00557C5B" w:rsidRPr="00557C5B" w:rsidRDefault="00557C5B" w:rsidP="00557C5B">
      <w:pPr>
        <w:autoSpaceDE w:val="0"/>
        <w:autoSpaceDN w:val="0"/>
        <w:adjustRightInd w:val="0"/>
        <w:jc w:val="both"/>
        <w:rPr>
          <w:rFonts w:eastAsia="Calibri"/>
        </w:rPr>
      </w:pPr>
      <w:r w:rsidRPr="00557C5B">
        <w:rPr>
          <w:rFonts w:eastAsia="Calibri"/>
          <w:b/>
          <w:bCs/>
        </w:rPr>
        <w:t>41.5</w:t>
      </w:r>
      <w:r w:rsidRPr="00557C5B">
        <w:rPr>
          <w:rFonts w:eastAsia="Calibri"/>
          <w:b/>
          <w:bCs/>
        </w:rPr>
        <w:tab/>
      </w:r>
      <w:r w:rsidRPr="00557C5B">
        <w:rPr>
          <w:rFonts w:eastAsia="Calibri"/>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b/>
          <w:bCs/>
        </w:rPr>
      </w:pPr>
      <w:r w:rsidRPr="00557C5B">
        <w:rPr>
          <w:rFonts w:eastAsia="Calibri"/>
          <w:b/>
          <w:bCs/>
        </w:rPr>
        <w:t>ARTICLE 42</w:t>
      </w:r>
      <w:r w:rsidRPr="00557C5B">
        <w:rPr>
          <w:rFonts w:eastAsia="Calibri"/>
          <w:b/>
          <w:bCs/>
        </w:rPr>
        <w:tab/>
        <w:t>FORCE MAJEURE</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w:t>
      </w:r>
      <w:proofErr w:type="spellStart"/>
      <w:r w:rsidR="009A0EB9">
        <w:rPr>
          <w:rFonts w:eastAsia="Calibri"/>
        </w:rPr>
        <w:t>Bid</w:t>
      </w:r>
      <w:r w:rsidRPr="00557C5B">
        <w:rPr>
          <w:rFonts w:eastAsia="Calibri"/>
        </w:rPr>
        <w:t>kouts</w:t>
      </w:r>
      <w:proofErr w:type="spellEnd"/>
      <w:r w:rsidRPr="00557C5B">
        <w:rPr>
          <w:rFonts w:eastAsia="Calibri"/>
        </w:rPr>
        <w:t>,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557C5B" w:rsidRPr="00557C5B" w:rsidRDefault="00557C5B" w:rsidP="00557C5B">
      <w:pPr>
        <w:widowControl w:val="0"/>
        <w:autoSpaceDE w:val="0"/>
        <w:autoSpaceDN w:val="0"/>
        <w:adjustRightInd w:val="0"/>
        <w:jc w:val="both"/>
        <w:rPr>
          <w:rFonts w:eastAsia="Calibri"/>
        </w:rPr>
      </w:pPr>
    </w:p>
    <w:p w:rsidR="00557C5B" w:rsidRPr="00557C5B" w:rsidRDefault="00557C5B" w:rsidP="00557C5B">
      <w:pPr>
        <w:widowControl w:val="0"/>
        <w:autoSpaceDE w:val="0"/>
        <w:autoSpaceDN w:val="0"/>
        <w:adjustRightInd w:val="0"/>
        <w:jc w:val="both"/>
        <w:rPr>
          <w:rFonts w:eastAsia="Calibri"/>
          <w:b/>
        </w:rPr>
      </w:pPr>
      <w:r w:rsidRPr="00557C5B">
        <w:rPr>
          <w:rFonts w:eastAsia="Calibri"/>
          <w:b/>
        </w:rPr>
        <w:t>ARTICLE 43</w:t>
      </w:r>
      <w:r w:rsidRPr="00557C5B">
        <w:rPr>
          <w:rFonts w:eastAsia="Calibri"/>
          <w:b/>
        </w:rPr>
        <w:tab/>
        <w:t>TRANSPARENCY</w:t>
      </w:r>
    </w:p>
    <w:p w:rsidR="00557C5B" w:rsidRPr="00557C5B" w:rsidRDefault="00557C5B" w:rsidP="00557C5B">
      <w:pPr>
        <w:widowControl w:val="0"/>
        <w:autoSpaceDE w:val="0"/>
        <w:autoSpaceDN w:val="0"/>
        <w:adjustRightInd w:val="0"/>
        <w:jc w:val="both"/>
        <w:rPr>
          <w:rFonts w:eastAsia="Calibri"/>
        </w:rPr>
      </w:pPr>
      <w:r w:rsidRPr="00557C5B">
        <w:rPr>
          <w:rFonts w:eastAsia="Calibri"/>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23" w:history="1">
        <w:r w:rsidRPr="00557C5B">
          <w:rPr>
            <w:rFonts w:eastAsia="Calibri"/>
            <w:color w:val="0000FF"/>
            <w:u w:val="single"/>
          </w:rPr>
          <w:t>https://www.transparency.mississippi.gov</w:t>
        </w:r>
      </w:hyperlink>
      <w:r w:rsidRPr="00557C5B">
        <w:rPr>
          <w:rFonts w:eastAsia="Calibri"/>
        </w:rPr>
        <w:t>.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557C5B" w:rsidRPr="00557C5B" w:rsidRDefault="00557C5B" w:rsidP="00557C5B">
      <w:pPr>
        <w:widowControl w:val="0"/>
        <w:autoSpaceDE w:val="0"/>
        <w:autoSpaceDN w:val="0"/>
        <w:adjustRightInd w:val="0"/>
        <w:jc w:val="both"/>
        <w:rPr>
          <w:rFonts w:eastAsia="Calibri"/>
          <w:b/>
          <w:bCs/>
        </w:rPr>
      </w:pPr>
    </w:p>
    <w:p w:rsidR="00557C5B" w:rsidRPr="00557C5B" w:rsidRDefault="00557C5B" w:rsidP="00557C5B">
      <w:pPr>
        <w:spacing w:after="200" w:line="276" w:lineRule="auto"/>
        <w:rPr>
          <w:rFonts w:eastAsia="Calibri"/>
        </w:rPr>
      </w:pPr>
      <w:r w:rsidRPr="00557C5B">
        <w:rPr>
          <w:rFonts w:eastAsia="Calibri"/>
        </w:rPr>
        <w:br w:type="page"/>
      </w:r>
    </w:p>
    <w:p w:rsidR="00557C5B" w:rsidRPr="00557C5B" w:rsidRDefault="00557C5B" w:rsidP="00557C5B">
      <w:pPr>
        <w:widowControl w:val="0"/>
        <w:autoSpaceDE w:val="0"/>
        <w:autoSpaceDN w:val="0"/>
        <w:adjustRightInd w:val="0"/>
        <w:jc w:val="both"/>
        <w:rPr>
          <w:rFonts w:eastAsia="Calibri"/>
        </w:rPr>
      </w:pPr>
      <w:r w:rsidRPr="00557C5B">
        <w:rPr>
          <w:rFonts w:eastAsia="Calibri"/>
        </w:rPr>
        <w:lastRenderedPageBreak/>
        <w:t>For the faithful performance of the terms of this Agreement, the parties hereto have caused this Agreement to be executed by their undersigned authorized representatives.</w:t>
      </w:r>
    </w:p>
    <w:p w:rsidR="00557C5B" w:rsidRPr="00557C5B" w:rsidRDefault="00557C5B" w:rsidP="00557C5B">
      <w:pPr>
        <w:widowControl w:val="0"/>
        <w:autoSpaceDE w:val="0"/>
        <w:autoSpaceDN w:val="0"/>
        <w:adjustRightInd w:val="0"/>
        <w:jc w:val="both"/>
        <w:rPr>
          <w:rFonts w:eastAsia="Calibri"/>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557C5B" w:rsidRPr="00557C5B" w:rsidTr="009A0EB9">
        <w:trPr>
          <w:trHeight w:val="576"/>
        </w:trPr>
        <w:tc>
          <w:tcPr>
            <w:tcW w:w="4767" w:type="dxa"/>
          </w:tcPr>
          <w:p w:rsidR="00557C5B" w:rsidRPr="00557C5B" w:rsidRDefault="00557C5B" w:rsidP="00557C5B">
            <w:pPr>
              <w:keepNext/>
              <w:keepLines/>
              <w:widowControl w:val="0"/>
              <w:autoSpaceDE w:val="0"/>
              <w:autoSpaceDN w:val="0"/>
              <w:adjustRightInd w:val="0"/>
              <w:jc w:val="both"/>
              <w:rPr>
                <w:rFonts w:eastAsia="Times New Roman"/>
                <w:b/>
                <w:bCs/>
              </w:rPr>
            </w:pPr>
            <w:r w:rsidRPr="00557C5B">
              <w:rPr>
                <w:rFonts w:eastAsia="Times New Roman"/>
                <w:b/>
                <w:bCs/>
              </w:rPr>
              <w:t>State of Mississippi, Department of</w:t>
            </w:r>
            <w:r w:rsidRPr="00557C5B">
              <w:rPr>
                <w:rFonts w:eastAsia="Times New Roman"/>
                <w:b/>
                <w:bCs/>
              </w:rPr>
              <w:tab/>
            </w:r>
          </w:p>
          <w:p w:rsidR="00557C5B" w:rsidRPr="00557C5B" w:rsidRDefault="00557C5B" w:rsidP="00557C5B">
            <w:pPr>
              <w:keepNext/>
              <w:keepLines/>
              <w:widowControl w:val="0"/>
              <w:autoSpaceDE w:val="0"/>
              <w:autoSpaceDN w:val="0"/>
              <w:adjustRightInd w:val="0"/>
              <w:rPr>
                <w:rFonts w:eastAsia="Times New Roman"/>
              </w:rPr>
            </w:pPr>
            <w:r w:rsidRPr="00557C5B">
              <w:rPr>
                <w:rFonts w:eastAsia="Times New Roman"/>
                <w:b/>
                <w:bCs/>
              </w:rPr>
              <w:t>Information Technology Services, on behalf of Mississippi Department of Transportation</w:t>
            </w:r>
          </w:p>
        </w:tc>
        <w:tc>
          <w:tcPr>
            <w:tcW w:w="288" w:type="dxa"/>
          </w:tcPr>
          <w:p w:rsidR="00557C5B" w:rsidRPr="00557C5B" w:rsidRDefault="00557C5B" w:rsidP="00557C5B">
            <w:pPr>
              <w:keepNext/>
              <w:keepLines/>
              <w:widowControl w:val="0"/>
              <w:autoSpaceDE w:val="0"/>
              <w:autoSpaceDN w:val="0"/>
              <w:adjustRightInd w:val="0"/>
              <w:rPr>
                <w:rFonts w:eastAsia="Times New Roman"/>
                <w:b/>
                <w:bCs/>
                <w:highlight w:val="yellow"/>
              </w:rPr>
            </w:pPr>
          </w:p>
        </w:tc>
        <w:tc>
          <w:tcPr>
            <w:tcW w:w="4767" w:type="dxa"/>
          </w:tcPr>
          <w:p w:rsidR="00557C5B" w:rsidRPr="00557C5B" w:rsidRDefault="00557C5B" w:rsidP="00557C5B">
            <w:pPr>
              <w:keepNext/>
              <w:keepLines/>
              <w:widowControl w:val="0"/>
              <w:autoSpaceDE w:val="0"/>
              <w:autoSpaceDN w:val="0"/>
              <w:adjustRightInd w:val="0"/>
              <w:rPr>
                <w:rFonts w:eastAsia="Times New Roman"/>
                <w:b/>
                <w:bCs/>
              </w:rPr>
            </w:pPr>
            <w:r w:rsidRPr="00557C5B">
              <w:rPr>
                <w:rFonts w:eastAsia="Times New Roman"/>
                <w:b/>
                <w:bCs/>
                <w:highlight w:val="yellow"/>
              </w:rPr>
              <w:t xml:space="preserve">INSERT </w:t>
            </w:r>
            <w:r>
              <w:rPr>
                <w:rFonts w:eastAsia="Times New Roman"/>
                <w:b/>
                <w:bCs/>
                <w:highlight w:val="yellow"/>
              </w:rPr>
              <w:t>BIDDER</w:t>
            </w:r>
            <w:r w:rsidRPr="00557C5B">
              <w:rPr>
                <w:rFonts w:eastAsia="Times New Roman"/>
                <w:b/>
                <w:bCs/>
                <w:highlight w:val="yellow"/>
              </w:rPr>
              <w:t xml:space="preserve"> NAME</w:t>
            </w:r>
          </w:p>
        </w:tc>
      </w:tr>
      <w:tr w:rsidR="00557C5B" w:rsidRPr="00557C5B" w:rsidTr="009A0EB9">
        <w:trPr>
          <w:trHeight w:val="576"/>
        </w:trPr>
        <w:tc>
          <w:tcPr>
            <w:tcW w:w="4767" w:type="dxa"/>
            <w:vAlign w:val="bottom"/>
          </w:tcPr>
          <w:p w:rsidR="00557C5B" w:rsidRPr="00557C5B" w:rsidRDefault="00557C5B" w:rsidP="00557C5B">
            <w:pPr>
              <w:keepNext/>
              <w:keepLines/>
              <w:widowControl w:val="0"/>
              <w:autoSpaceDE w:val="0"/>
              <w:autoSpaceDN w:val="0"/>
              <w:adjustRightInd w:val="0"/>
              <w:rPr>
                <w:rFonts w:eastAsia="Times New Roman"/>
              </w:rPr>
            </w:pPr>
            <w:r w:rsidRPr="00557C5B">
              <w:rPr>
                <w:rFonts w:eastAsia="Times New Roman"/>
                <w:b/>
                <w:bCs/>
              </w:rPr>
              <w:t>By:________________________________</w:t>
            </w:r>
          </w:p>
        </w:tc>
        <w:tc>
          <w:tcPr>
            <w:tcW w:w="288" w:type="dxa"/>
          </w:tcPr>
          <w:p w:rsidR="00557C5B" w:rsidRPr="00557C5B" w:rsidRDefault="00557C5B" w:rsidP="00557C5B">
            <w:pPr>
              <w:keepNext/>
              <w:keepLines/>
              <w:widowControl w:val="0"/>
              <w:autoSpaceDE w:val="0"/>
              <w:autoSpaceDN w:val="0"/>
              <w:adjustRightInd w:val="0"/>
              <w:rPr>
                <w:rFonts w:eastAsia="Times New Roman"/>
                <w:b/>
                <w:bCs/>
              </w:rPr>
            </w:pPr>
          </w:p>
        </w:tc>
        <w:tc>
          <w:tcPr>
            <w:tcW w:w="4767" w:type="dxa"/>
            <w:vAlign w:val="bottom"/>
          </w:tcPr>
          <w:p w:rsidR="00557C5B" w:rsidRPr="00557C5B" w:rsidRDefault="00557C5B" w:rsidP="00557C5B">
            <w:pPr>
              <w:keepNext/>
              <w:keepLines/>
              <w:widowControl w:val="0"/>
              <w:autoSpaceDE w:val="0"/>
              <w:autoSpaceDN w:val="0"/>
              <w:adjustRightInd w:val="0"/>
              <w:rPr>
                <w:rFonts w:eastAsia="Times New Roman"/>
              </w:rPr>
            </w:pPr>
            <w:r w:rsidRPr="00557C5B">
              <w:rPr>
                <w:rFonts w:eastAsia="Times New Roman"/>
                <w:b/>
                <w:bCs/>
              </w:rPr>
              <w:t>By:_______________________________</w:t>
            </w:r>
          </w:p>
        </w:tc>
      </w:tr>
      <w:tr w:rsidR="00557C5B" w:rsidRPr="00557C5B" w:rsidTr="009A0EB9">
        <w:trPr>
          <w:trHeight w:val="288"/>
        </w:trPr>
        <w:tc>
          <w:tcPr>
            <w:tcW w:w="4767" w:type="dxa"/>
          </w:tcPr>
          <w:p w:rsidR="00557C5B" w:rsidRPr="00557C5B" w:rsidRDefault="00557C5B" w:rsidP="00557C5B">
            <w:pPr>
              <w:keepNext/>
              <w:keepLines/>
              <w:widowControl w:val="0"/>
              <w:autoSpaceDE w:val="0"/>
              <w:autoSpaceDN w:val="0"/>
              <w:adjustRightInd w:val="0"/>
              <w:jc w:val="center"/>
              <w:rPr>
                <w:rFonts w:eastAsia="Times New Roman"/>
              </w:rPr>
            </w:pPr>
            <w:r w:rsidRPr="00557C5B">
              <w:rPr>
                <w:rFonts w:eastAsia="Times New Roman"/>
                <w:b/>
                <w:bCs/>
              </w:rPr>
              <w:t>Authorized Signature</w:t>
            </w:r>
          </w:p>
        </w:tc>
        <w:tc>
          <w:tcPr>
            <w:tcW w:w="288" w:type="dxa"/>
          </w:tcPr>
          <w:p w:rsidR="00557C5B" w:rsidRPr="00557C5B" w:rsidRDefault="00557C5B" w:rsidP="00557C5B">
            <w:pPr>
              <w:keepNext/>
              <w:keepLines/>
              <w:widowControl w:val="0"/>
              <w:autoSpaceDE w:val="0"/>
              <w:autoSpaceDN w:val="0"/>
              <w:adjustRightInd w:val="0"/>
              <w:jc w:val="center"/>
              <w:rPr>
                <w:rFonts w:eastAsia="Times New Roman"/>
                <w:b/>
                <w:bCs/>
              </w:rPr>
            </w:pPr>
          </w:p>
        </w:tc>
        <w:tc>
          <w:tcPr>
            <w:tcW w:w="4767" w:type="dxa"/>
          </w:tcPr>
          <w:p w:rsidR="00557C5B" w:rsidRPr="00557C5B" w:rsidRDefault="00557C5B" w:rsidP="00557C5B">
            <w:pPr>
              <w:keepNext/>
              <w:keepLines/>
              <w:widowControl w:val="0"/>
              <w:autoSpaceDE w:val="0"/>
              <w:autoSpaceDN w:val="0"/>
              <w:adjustRightInd w:val="0"/>
              <w:jc w:val="center"/>
              <w:rPr>
                <w:rFonts w:eastAsia="Times New Roman"/>
              </w:rPr>
            </w:pPr>
            <w:r w:rsidRPr="00557C5B">
              <w:rPr>
                <w:rFonts w:eastAsia="Times New Roman"/>
                <w:b/>
                <w:bCs/>
              </w:rPr>
              <w:t>Authorized Signature</w:t>
            </w:r>
          </w:p>
        </w:tc>
      </w:tr>
      <w:tr w:rsidR="00557C5B" w:rsidRPr="00557C5B" w:rsidTr="009A0EB9">
        <w:trPr>
          <w:trHeight w:val="576"/>
        </w:trPr>
        <w:tc>
          <w:tcPr>
            <w:tcW w:w="4767" w:type="dxa"/>
            <w:vAlign w:val="bottom"/>
          </w:tcPr>
          <w:p w:rsidR="004E3FAC" w:rsidRDefault="00557C5B" w:rsidP="00557C5B">
            <w:pPr>
              <w:keepNext/>
              <w:keepLines/>
              <w:widowControl w:val="0"/>
              <w:autoSpaceDE w:val="0"/>
              <w:autoSpaceDN w:val="0"/>
              <w:adjustRightInd w:val="0"/>
              <w:rPr>
                <w:rFonts w:eastAsia="Times New Roman"/>
                <w:b/>
                <w:bCs/>
              </w:rPr>
            </w:pPr>
            <w:r w:rsidRPr="00557C5B">
              <w:rPr>
                <w:rFonts w:eastAsia="Times New Roman"/>
                <w:b/>
                <w:bCs/>
              </w:rPr>
              <w:t>Printed N</w:t>
            </w:r>
            <w:r w:rsidR="004E3FAC">
              <w:rPr>
                <w:rFonts w:eastAsia="Times New Roman"/>
                <w:b/>
                <w:bCs/>
              </w:rPr>
              <w:t xml:space="preserve">  </w:t>
            </w:r>
          </w:p>
          <w:p w:rsidR="00557C5B" w:rsidRPr="00557C5B" w:rsidRDefault="00557C5B" w:rsidP="00557C5B">
            <w:pPr>
              <w:keepNext/>
              <w:keepLines/>
              <w:widowControl w:val="0"/>
              <w:autoSpaceDE w:val="0"/>
              <w:autoSpaceDN w:val="0"/>
              <w:adjustRightInd w:val="0"/>
              <w:rPr>
                <w:rFonts w:eastAsia="Times New Roman"/>
              </w:rPr>
            </w:pPr>
            <w:proofErr w:type="spellStart"/>
            <w:r w:rsidRPr="00557C5B">
              <w:rPr>
                <w:rFonts w:eastAsia="Times New Roman"/>
                <w:b/>
                <w:bCs/>
              </w:rPr>
              <w:t>ame</w:t>
            </w:r>
            <w:proofErr w:type="spellEnd"/>
            <w:r w:rsidRPr="00557C5B">
              <w:rPr>
                <w:rFonts w:eastAsia="Times New Roman"/>
                <w:b/>
                <w:bCs/>
              </w:rPr>
              <w:t xml:space="preserve">: Craig P. </w:t>
            </w:r>
            <w:proofErr w:type="spellStart"/>
            <w:r w:rsidRPr="00557C5B">
              <w:rPr>
                <w:rFonts w:eastAsia="Times New Roman"/>
                <w:b/>
                <w:bCs/>
              </w:rPr>
              <w:t>Orgeron</w:t>
            </w:r>
            <w:proofErr w:type="spellEnd"/>
            <w:r w:rsidRPr="00557C5B">
              <w:rPr>
                <w:rFonts w:eastAsia="Times New Roman"/>
                <w:b/>
                <w:bCs/>
              </w:rPr>
              <w:t>, Ph.D.</w:t>
            </w:r>
          </w:p>
        </w:tc>
        <w:tc>
          <w:tcPr>
            <w:tcW w:w="288" w:type="dxa"/>
          </w:tcPr>
          <w:p w:rsidR="00557C5B" w:rsidRPr="00557C5B" w:rsidRDefault="00557C5B" w:rsidP="00557C5B">
            <w:pPr>
              <w:keepNext/>
              <w:keepLines/>
              <w:widowControl w:val="0"/>
              <w:autoSpaceDE w:val="0"/>
              <w:autoSpaceDN w:val="0"/>
              <w:adjustRightInd w:val="0"/>
              <w:rPr>
                <w:rFonts w:eastAsia="Times New Roman"/>
                <w:b/>
                <w:bCs/>
              </w:rPr>
            </w:pPr>
          </w:p>
        </w:tc>
        <w:tc>
          <w:tcPr>
            <w:tcW w:w="4767" w:type="dxa"/>
            <w:vAlign w:val="bottom"/>
          </w:tcPr>
          <w:p w:rsidR="00557C5B" w:rsidRPr="00557C5B" w:rsidRDefault="00557C5B" w:rsidP="00557C5B">
            <w:pPr>
              <w:keepNext/>
              <w:keepLines/>
              <w:widowControl w:val="0"/>
              <w:autoSpaceDE w:val="0"/>
              <w:autoSpaceDN w:val="0"/>
              <w:adjustRightInd w:val="0"/>
              <w:rPr>
                <w:rFonts w:eastAsia="Times New Roman"/>
              </w:rPr>
            </w:pPr>
            <w:r w:rsidRPr="00557C5B">
              <w:rPr>
                <w:rFonts w:eastAsia="Times New Roman"/>
                <w:b/>
                <w:bCs/>
              </w:rPr>
              <w:t>Printed Name:______________________</w:t>
            </w:r>
          </w:p>
        </w:tc>
      </w:tr>
      <w:tr w:rsidR="00557C5B" w:rsidRPr="00557C5B" w:rsidTr="009A0EB9">
        <w:trPr>
          <w:trHeight w:val="576"/>
        </w:trPr>
        <w:tc>
          <w:tcPr>
            <w:tcW w:w="4767" w:type="dxa"/>
            <w:vAlign w:val="bottom"/>
          </w:tcPr>
          <w:p w:rsidR="00557C5B" w:rsidRPr="00557C5B" w:rsidRDefault="00557C5B" w:rsidP="00557C5B">
            <w:pPr>
              <w:keepNext/>
              <w:keepLines/>
              <w:widowControl w:val="0"/>
              <w:autoSpaceDE w:val="0"/>
              <w:autoSpaceDN w:val="0"/>
              <w:adjustRightInd w:val="0"/>
              <w:rPr>
                <w:rFonts w:eastAsia="Times New Roman"/>
                <w:b/>
                <w:bCs/>
              </w:rPr>
            </w:pPr>
            <w:r w:rsidRPr="00557C5B">
              <w:rPr>
                <w:rFonts w:eastAsia="Times New Roman"/>
                <w:b/>
                <w:bCs/>
              </w:rPr>
              <w:t>Title: Executive Director</w:t>
            </w:r>
          </w:p>
        </w:tc>
        <w:tc>
          <w:tcPr>
            <w:tcW w:w="288" w:type="dxa"/>
          </w:tcPr>
          <w:p w:rsidR="00557C5B" w:rsidRPr="00557C5B" w:rsidRDefault="00557C5B" w:rsidP="00557C5B">
            <w:pPr>
              <w:keepNext/>
              <w:keepLines/>
              <w:widowControl w:val="0"/>
              <w:autoSpaceDE w:val="0"/>
              <w:autoSpaceDN w:val="0"/>
              <w:adjustRightInd w:val="0"/>
              <w:rPr>
                <w:rFonts w:eastAsia="Times New Roman"/>
                <w:b/>
                <w:bCs/>
              </w:rPr>
            </w:pPr>
          </w:p>
        </w:tc>
        <w:tc>
          <w:tcPr>
            <w:tcW w:w="4767" w:type="dxa"/>
            <w:vAlign w:val="bottom"/>
          </w:tcPr>
          <w:p w:rsidR="00557C5B" w:rsidRPr="00557C5B" w:rsidRDefault="00557C5B" w:rsidP="00557C5B">
            <w:pPr>
              <w:keepNext/>
              <w:keepLines/>
              <w:widowControl w:val="0"/>
              <w:autoSpaceDE w:val="0"/>
              <w:autoSpaceDN w:val="0"/>
              <w:adjustRightInd w:val="0"/>
              <w:rPr>
                <w:rFonts w:eastAsia="Times New Roman"/>
                <w:b/>
                <w:bCs/>
              </w:rPr>
            </w:pPr>
            <w:r w:rsidRPr="00557C5B">
              <w:rPr>
                <w:rFonts w:eastAsia="Times New Roman"/>
                <w:b/>
                <w:bCs/>
              </w:rPr>
              <w:t>Title:______________________________</w:t>
            </w:r>
          </w:p>
        </w:tc>
      </w:tr>
      <w:tr w:rsidR="00557C5B" w:rsidRPr="00557C5B" w:rsidTr="009A0EB9">
        <w:trPr>
          <w:trHeight w:val="576"/>
        </w:trPr>
        <w:tc>
          <w:tcPr>
            <w:tcW w:w="4767" w:type="dxa"/>
            <w:vAlign w:val="bottom"/>
          </w:tcPr>
          <w:p w:rsidR="00557C5B" w:rsidRPr="00557C5B" w:rsidRDefault="00557C5B" w:rsidP="00557C5B">
            <w:pPr>
              <w:keepNext/>
              <w:keepLines/>
              <w:widowControl w:val="0"/>
              <w:autoSpaceDE w:val="0"/>
              <w:autoSpaceDN w:val="0"/>
              <w:adjustRightInd w:val="0"/>
              <w:rPr>
                <w:rFonts w:eastAsia="Times New Roman"/>
              </w:rPr>
            </w:pPr>
            <w:r w:rsidRPr="00557C5B">
              <w:rPr>
                <w:rFonts w:eastAsia="Times New Roman"/>
                <w:b/>
                <w:bCs/>
              </w:rPr>
              <w:t>Date: ______________________________</w:t>
            </w:r>
          </w:p>
        </w:tc>
        <w:tc>
          <w:tcPr>
            <w:tcW w:w="288" w:type="dxa"/>
          </w:tcPr>
          <w:p w:rsidR="00557C5B" w:rsidRPr="00557C5B" w:rsidRDefault="00557C5B" w:rsidP="00557C5B">
            <w:pPr>
              <w:keepNext/>
              <w:keepLines/>
              <w:widowControl w:val="0"/>
              <w:autoSpaceDE w:val="0"/>
              <w:autoSpaceDN w:val="0"/>
              <w:adjustRightInd w:val="0"/>
              <w:rPr>
                <w:rFonts w:eastAsia="Times New Roman"/>
                <w:b/>
                <w:bCs/>
              </w:rPr>
            </w:pPr>
          </w:p>
        </w:tc>
        <w:tc>
          <w:tcPr>
            <w:tcW w:w="4767" w:type="dxa"/>
            <w:vAlign w:val="bottom"/>
          </w:tcPr>
          <w:p w:rsidR="00557C5B" w:rsidRPr="00557C5B" w:rsidRDefault="00557C5B" w:rsidP="00557C5B">
            <w:pPr>
              <w:keepNext/>
              <w:keepLines/>
              <w:widowControl w:val="0"/>
              <w:autoSpaceDE w:val="0"/>
              <w:autoSpaceDN w:val="0"/>
              <w:adjustRightInd w:val="0"/>
              <w:rPr>
                <w:rFonts w:eastAsia="Times New Roman"/>
              </w:rPr>
            </w:pPr>
            <w:r w:rsidRPr="00557C5B">
              <w:rPr>
                <w:rFonts w:eastAsia="Times New Roman"/>
                <w:b/>
                <w:bCs/>
              </w:rPr>
              <w:t>Date:______________________________</w:t>
            </w:r>
          </w:p>
        </w:tc>
      </w:tr>
    </w:tbl>
    <w:p w:rsidR="00557C5B" w:rsidRPr="00557C5B" w:rsidRDefault="00557C5B" w:rsidP="00557C5B">
      <w:pPr>
        <w:jc w:val="both"/>
        <w:rPr>
          <w:rFonts w:eastAsia="Calibri" w:cs="Times New Roman"/>
        </w:rPr>
        <w:sectPr w:rsidR="00557C5B" w:rsidRPr="00557C5B" w:rsidSect="009A0EB9">
          <w:footerReference w:type="default" r:id="rId24"/>
          <w:pgSz w:w="12240" w:h="15840"/>
          <w:pgMar w:top="1440" w:right="1440" w:bottom="1440" w:left="1440" w:header="720" w:footer="1080" w:gutter="0"/>
          <w:cols w:space="720"/>
          <w:docGrid w:linePitch="360"/>
        </w:sectPr>
      </w:pPr>
      <w:bookmarkStart w:id="144" w:name="vendorname4"/>
      <w:bookmarkStart w:id="145" w:name="agencyname3"/>
      <w:bookmarkEnd w:id="144"/>
      <w:bookmarkEnd w:id="145"/>
    </w:p>
    <w:p w:rsidR="00445373" w:rsidRPr="00EF69C0" w:rsidRDefault="00445373" w:rsidP="00241472">
      <w:pPr>
        <w:rPr>
          <w:rStyle w:val="SubtleReference"/>
        </w:rPr>
      </w:pPr>
    </w:p>
    <w:sectPr w:rsidR="00445373" w:rsidRPr="00EF69C0" w:rsidSect="00517614">
      <w:headerReference w:type="default" r:id="rId25"/>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41" w:rsidRDefault="00FE0C41" w:rsidP="00C16533">
      <w:r>
        <w:separator/>
      </w:r>
    </w:p>
  </w:endnote>
  <w:endnote w:type="continuationSeparator" w:id="0">
    <w:p w:rsidR="00FE0C41" w:rsidRDefault="00FE0C41" w:rsidP="00C1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tblGrid>
    <w:tr w:rsidR="00FE0C41" w:rsidRPr="003D6AA0" w:rsidTr="001C447F">
      <w:trPr>
        <w:jc w:val="center"/>
      </w:trPr>
      <w:tc>
        <w:tcPr>
          <w:tcW w:w="1080" w:type="dxa"/>
        </w:tcPr>
        <w:p w:rsidR="00FE0C41" w:rsidRPr="005A2860" w:rsidRDefault="00917C6A" w:rsidP="001C447F">
          <w:pPr>
            <w:pStyle w:val="Footer"/>
            <w:tabs>
              <w:tab w:val="clear" w:pos="4320"/>
              <w:tab w:val="clear" w:pos="8640"/>
            </w:tabs>
            <w:jc w:val="center"/>
            <w:rPr>
              <w:sz w:val="20"/>
            </w:rPr>
          </w:pPr>
          <w:sdt>
            <w:sdtPr>
              <w:rPr>
                <w:sz w:val="20"/>
              </w:rPr>
              <w:id w:val="-980074296"/>
              <w:docPartObj>
                <w:docPartGallery w:val="Page Numbers (Bottom of Page)"/>
                <w:docPartUnique/>
              </w:docPartObj>
            </w:sdtPr>
            <w:sdtEndPr>
              <w:rPr>
                <w:noProof/>
              </w:rPr>
            </w:sdtEndPr>
            <w:sdtContent>
              <w:r w:rsidR="00FE0C41" w:rsidRPr="005A2860">
                <w:rPr>
                  <w:sz w:val="20"/>
                </w:rPr>
                <w:fldChar w:fldCharType="begin"/>
              </w:r>
              <w:r w:rsidR="00FE0C41" w:rsidRPr="005A2860">
                <w:rPr>
                  <w:sz w:val="20"/>
                </w:rPr>
                <w:instrText xml:space="preserve"> PAGE   \* MERGEFORMAT </w:instrText>
              </w:r>
              <w:r w:rsidR="00FE0C41" w:rsidRPr="005A2860">
                <w:rPr>
                  <w:sz w:val="20"/>
                </w:rPr>
                <w:fldChar w:fldCharType="separate"/>
              </w:r>
              <w:r>
                <w:rPr>
                  <w:noProof/>
                  <w:sz w:val="20"/>
                </w:rPr>
                <w:t>12</w:t>
              </w:r>
              <w:r w:rsidR="00FE0C41" w:rsidRPr="005A2860">
                <w:rPr>
                  <w:noProof/>
                  <w:sz w:val="20"/>
                </w:rPr>
                <w:fldChar w:fldCharType="end"/>
              </w:r>
              <w:r w:rsidR="00FE0C41" w:rsidRPr="005A2860">
                <w:rPr>
                  <w:noProof/>
                  <w:sz w:val="20"/>
                </w:rPr>
                <w:t xml:space="preserve"> of </w:t>
              </w:r>
              <w:r w:rsidR="00FE0C41" w:rsidRPr="005A2860">
                <w:rPr>
                  <w:noProof/>
                  <w:sz w:val="20"/>
                </w:rPr>
                <w:fldChar w:fldCharType="begin"/>
              </w:r>
              <w:r w:rsidR="00FE0C41" w:rsidRPr="005A2860">
                <w:rPr>
                  <w:noProof/>
                  <w:sz w:val="20"/>
                </w:rPr>
                <w:instrText xml:space="preserve"> NUMPAGES   \* MERGEFORMAT </w:instrText>
              </w:r>
              <w:r w:rsidR="00FE0C41" w:rsidRPr="005A2860">
                <w:rPr>
                  <w:noProof/>
                  <w:sz w:val="20"/>
                </w:rPr>
                <w:fldChar w:fldCharType="separate"/>
              </w:r>
              <w:r>
                <w:rPr>
                  <w:noProof/>
                  <w:sz w:val="20"/>
                </w:rPr>
                <w:t>32</w:t>
              </w:r>
              <w:r w:rsidR="00FE0C41" w:rsidRPr="005A2860">
                <w:rPr>
                  <w:noProof/>
                  <w:sz w:val="20"/>
                </w:rPr>
                <w:fldChar w:fldCharType="end"/>
              </w:r>
            </w:sdtContent>
          </w:sdt>
        </w:p>
      </w:tc>
    </w:tr>
  </w:tbl>
  <w:p w:rsidR="00FE0C41" w:rsidRDefault="00FE0C41" w:rsidP="003D6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rsidP="009A0EB9">
    <w:pPr>
      <w:pStyle w:val="Footer"/>
      <w:jc w:val="center"/>
      <w:rPr>
        <w:rFonts w:cs="Arial"/>
        <w:sz w:val="18"/>
        <w:szCs w:val="18"/>
      </w:rPr>
    </w:pPr>
  </w:p>
  <w:p w:rsidR="00FE0C41" w:rsidRDefault="00FE0C41" w:rsidP="009A0EB9">
    <w:pPr>
      <w:pStyle w:val="Footer"/>
      <w:jc w:val="center"/>
      <w:rPr>
        <w:rFonts w:cs="Arial"/>
        <w:sz w:val="18"/>
        <w:szCs w:val="18"/>
      </w:rPr>
    </w:pPr>
    <w:r w:rsidRPr="00570DF5">
      <w:rPr>
        <w:rFonts w:cs="Arial"/>
        <w:sz w:val="18"/>
        <w:szCs w:val="18"/>
      </w:rPr>
      <w:t xml:space="preserve">Page </w:t>
    </w:r>
    <w:r w:rsidRPr="00570DF5">
      <w:rPr>
        <w:rFonts w:cs="Arial"/>
        <w:sz w:val="18"/>
        <w:szCs w:val="18"/>
      </w:rPr>
      <w:fldChar w:fldCharType="begin"/>
    </w:r>
    <w:r w:rsidRPr="00570DF5">
      <w:rPr>
        <w:rFonts w:cs="Arial"/>
        <w:sz w:val="18"/>
        <w:szCs w:val="18"/>
      </w:rPr>
      <w:instrText xml:space="preserve"> PAGE  \* Arabic  \* MERGEFORMAT </w:instrText>
    </w:r>
    <w:r w:rsidRPr="00570DF5">
      <w:rPr>
        <w:rFonts w:cs="Arial"/>
        <w:sz w:val="18"/>
        <w:szCs w:val="18"/>
      </w:rPr>
      <w:fldChar w:fldCharType="separate"/>
    </w:r>
    <w:r w:rsidR="00917C6A">
      <w:rPr>
        <w:rFonts w:cs="Arial"/>
        <w:noProof/>
        <w:sz w:val="18"/>
        <w:szCs w:val="18"/>
      </w:rPr>
      <w:t>22</w:t>
    </w:r>
    <w:r w:rsidRPr="00570DF5">
      <w:rPr>
        <w:rFonts w:cs="Arial"/>
        <w:sz w:val="18"/>
        <w:szCs w:val="18"/>
      </w:rPr>
      <w:fldChar w:fldCharType="end"/>
    </w:r>
    <w:r w:rsidRPr="00570DF5">
      <w:rPr>
        <w:rFonts w:cs="Arial"/>
        <w:sz w:val="18"/>
        <w:szCs w:val="18"/>
      </w:rPr>
      <w:t xml:space="preserve"> of </w:t>
    </w:r>
    <w:r w:rsidRPr="00570DF5">
      <w:rPr>
        <w:rFonts w:cs="Arial"/>
        <w:sz w:val="18"/>
        <w:szCs w:val="18"/>
      </w:rPr>
      <w:fldChar w:fldCharType="begin"/>
    </w:r>
    <w:r w:rsidRPr="00570DF5">
      <w:rPr>
        <w:rFonts w:cs="Arial"/>
        <w:sz w:val="18"/>
        <w:szCs w:val="18"/>
      </w:rPr>
      <w:instrText xml:space="preserve"> NUMPAGES  \* Arabic  \* MERGEFORMAT </w:instrText>
    </w:r>
    <w:r w:rsidRPr="00570DF5">
      <w:rPr>
        <w:rFonts w:cs="Arial"/>
        <w:sz w:val="18"/>
        <w:szCs w:val="18"/>
      </w:rPr>
      <w:fldChar w:fldCharType="separate"/>
    </w:r>
    <w:r w:rsidR="00917C6A">
      <w:rPr>
        <w:rFonts w:cs="Arial"/>
        <w:noProof/>
        <w:sz w:val="18"/>
        <w:szCs w:val="18"/>
      </w:rPr>
      <w:t>32</w:t>
    </w:r>
    <w:r w:rsidRPr="00570DF5">
      <w:rPr>
        <w:rFonts w:cs="Arial"/>
        <w:sz w:val="18"/>
        <w:szCs w:val="18"/>
      </w:rPr>
      <w:fldChar w:fldCharType="end"/>
    </w:r>
  </w:p>
  <w:p w:rsidR="00FE0C41" w:rsidRDefault="00FE0C41" w:rsidP="009A0EB9">
    <w:pPr>
      <w:pStyle w:val="Footer"/>
      <w:jc w:val="center"/>
      <w:rPr>
        <w:rFonts w:cs="Arial"/>
        <w:sz w:val="18"/>
        <w:szCs w:val="18"/>
      </w:rPr>
    </w:pPr>
  </w:p>
  <w:p w:rsidR="00FE0C41" w:rsidRPr="00570DF5" w:rsidRDefault="00FE0C41" w:rsidP="009A0EB9">
    <w:pPr>
      <w:pStyle w:val="Footer"/>
      <w:rPr>
        <w:rFonts w:cs="Arial"/>
        <w:sz w:val="18"/>
        <w:szCs w:val="18"/>
      </w:rPr>
    </w:pPr>
    <w:bookmarkStart w:id="139" w:name="vendorname2"/>
    <w:bookmarkEnd w:id="139"/>
    <w:r>
      <w:rPr>
        <w:rFonts w:cs="Arial"/>
        <w:sz w:val="18"/>
        <w:szCs w:val="18"/>
        <w:highlight w:val="yellow"/>
      </w:rPr>
      <w:t>BIDDER</w:t>
    </w:r>
    <w:r w:rsidRPr="004A7FC8">
      <w:rPr>
        <w:rFonts w:cs="Arial"/>
        <w:sz w:val="18"/>
        <w:szCs w:val="18"/>
        <w:highlight w:val="yellow"/>
      </w:rPr>
      <w:t xml:space="preserve"> NAME</w:t>
    </w:r>
    <w:r w:rsidRPr="000669BB">
      <w:rPr>
        <w:rFonts w:cs="Arial"/>
        <w:sz w:val="18"/>
        <w:szCs w:val="18"/>
      </w:rPr>
      <w:t>-</w:t>
    </w:r>
    <w:bookmarkStart w:id="140" w:name="agencycode11"/>
    <w:bookmarkEnd w:id="140"/>
    <w:r>
      <w:rPr>
        <w:rFonts w:cs="Arial"/>
        <w:sz w:val="18"/>
        <w:szCs w:val="18"/>
      </w:rPr>
      <w:t>MDOT</w:t>
    </w:r>
    <w:r w:rsidRPr="000669BB">
      <w:rPr>
        <w:rFonts w:cs="Arial"/>
        <w:sz w:val="18"/>
        <w:szCs w:val="18"/>
      </w:rPr>
      <w:t>-</w:t>
    </w:r>
    <w:bookmarkStart w:id="141" w:name="projectnumber1"/>
    <w:bookmarkEnd w:id="141"/>
    <w:r>
      <w:rPr>
        <w:rFonts w:cs="Arial"/>
        <w:sz w:val="18"/>
        <w:szCs w:val="18"/>
      </w:rPr>
      <w:t>44354</w:t>
    </w:r>
    <w:r w:rsidRPr="000669BB">
      <w:rPr>
        <w:rFonts w:cs="Arial"/>
        <w:sz w:val="18"/>
        <w:szCs w:val="18"/>
      </w:rPr>
      <w:t>-</w:t>
    </w:r>
    <w:bookmarkStart w:id="142" w:name="rfpnumber1"/>
    <w:bookmarkEnd w:id="142"/>
    <w:r>
      <w:rPr>
        <w:rFonts w:cs="Arial"/>
        <w:sz w:val="18"/>
        <w:szCs w:val="18"/>
      </w:rPr>
      <w:t>4134</w:t>
    </w:r>
    <w:r w:rsidRPr="000669BB">
      <w:rPr>
        <w:rFonts w:cs="Arial"/>
        <w:sz w:val="18"/>
        <w:szCs w:val="18"/>
      </w:rPr>
      <w:t>-</w:t>
    </w:r>
    <w:bookmarkStart w:id="143" w:name="datemodified"/>
    <w:bookmarkEnd w:id="143"/>
    <w:r w:rsidRPr="004A7FC8">
      <w:rPr>
        <w:rFonts w:cs="Arial"/>
        <w:sz w:val="18"/>
        <w:szCs w:val="18"/>
        <w:highlight w:val="yellow"/>
      </w:rPr>
      <w:t>DATE MODIFIED</w:t>
    </w:r>
    <w:r w:rsidRPr="000669BB">
      <w:rPr>
        <w:rFonts w:cs="Arial"/>
        <w:sz w:val="18"/>
        <w:szCs w:val="18"/>
      </w:rPr>
      <w:t>-SaaS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41" w:rsidRDefault="00FE0C41" w:rsidP="00C16533">
      <w:r>
        <w:separator/>
      </w:r>
    </w:p>
  </w:footnote>
  <w:footnote w:type="continuationSeparator" w:id="0">
    <w:p w:rsidR="00FE0C41" w:rsidRDefault="00FE0C41" w:rsidP="00C1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Pr="00AA4BBE" w:rsidRDefault="00FE0C41" w:rsidP="00AA4BBE">
    <w:pPr>
      <w:jc w:val="center"/>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rsidP="007A22EF">
    <w:pPr>
      <w:jc w:val="center"/>
      <w:rPr>
        <w:b/>
        <w:bCs/>
        <w:sz w:val="24"/>
      </w:rPr>
    </w:pPr>
    <w:r>
      <w:rPr>
        <w:b/>
        <w:bCs/>
        <w:sz w:val="24"/>
      </w:rPr>
      <w:t>Attachment C</w:t>
    </w:r>
  </w:p>
  <w:p w:rsidR="00FE0C41" w:rsidRPr="007A22EF" w:rsidRDefault="00FE0C41" w:rsidP="007A22EF">
    <w:pPr>
      <w:jc w:val="center"/>
      <w:rPr>
        <w:b/>
        <w:bCs/>
        <w:sz w:val="24"/>
      </w:rPr>
    </w:pPr>
    <w:r>
      <w:rPr>
        <w:b/>
        <w:bCs/>
        <w:sz w:val="24"/>
      </w:rPr>
      <w:t xml:space="preserve">Exception Summary Form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Pr="00B662B0" w:rsidRDefault="00FE0C4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Pr="00517614" w:rsidRDefault="00FE0C41" w:rsidP="00517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rsidP="00AA4BBE">
    <w:pPr>
      <w:jc w:val="center"/>
      <w:rPr>
        <w:b/>
        <w:bCs/>
        <w:sz w:val="24"/>
      </w:rPr>
    </w:pPr>
    <w:r>
      <w:rPr>
        <w:b/>
        <w:bCs/>
        <w:sz w:val="24"/>
      </w:rPr>
      <w:t>Invitation for Bid No. 4134</w:t>
    </w:r>
  </w:p>
  <w:p w:rsidR="00FE0C41" w:rsidRDefault="00FE0C41" w:rsidP="00AA4BBE">
    <w:pPr>
      <w:jc w:val="center"/>
      <w:rPr>
        <w:b/>
        <w:bCs/>
        <w:sz w:val="24"/>
      </w:rPr>
    </w:pPr>
    <w:r>
      <w:rPr>
        <w:b/>
        <w:bCs/>
        <w:sz w:val="24"/>
      </w:rPr>
      <w:t>Bidder Information</w:t>
    </w:r>
  </w:p>
  <w:p w:rsidR="00FE0C41" w:rsidRPr="00AA4BBE" w:rsidRDefault="00FE0C41" w:rsidP="00AA4BBE">
    <w:pPr>
      <w:jc w:val="center"/>
      <w:rPr>
        <w:sz w:val="24"/>
      </w:rPr>
    </w:pPr>
    <w:r>
      <w:rPr>
        <w:b/>
        <w:bCs/>
        <w:sz w:val="24"/>
      </w:rPr>
      <w:t>Project No. 44354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rsidP="00FE2E99">
    <w:pPr>
      <w:jc w:val="center"/>
      <w:rPr>
        <w:b/>
        <w:bCs/>
        <w:sz w:val="24"/>
      </w:rPr>
    </w:pPr>
    <w:r>
      <w:rPr>
        <w:b/>
        <w:bCs/>
        <w:sz w:val="24"/>
      </w:rPr>
      <w:t>Attachment A</w:t>
    </w:r>
  </w:p>
  <w:p w:rsidR="00FE0C41" w:rsidRPr="00216063" w:rsidRDefault="00FE0C41" w:rsidP="00FE2E99">
    <w:pPr>
      <w:jc w:val="center"/>
      <w:rPr>
        <w:sz w:val="24"/>
      </w:rPr>
    </w:pPr>
    <w:r>
      <w:rPr>
        <w:b/>
        <w:bCs/>
        <w:sz w:val="24"/>
      </w:rPr>
      <w:t>Bid Form and Specifications</w:t>
    </w:r>
  </w:p>
  <w:p w:rsidR="00FE0C41" w:rsidRPr="00FE2E99" w:rsidRDefault="00FE0C41" w:rsidP="00FE2E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rsidP="007A22EF">
    <w:pPr>
      <w:jc w:val="center"/>
      <w:rPr>
        <w:b/>
        <w:bCs/>
        <w:sz w:val="24"/>
      </w:rPr>
    </w:pPr>
    <w:r>
      <w:rPr>
        <w:b/>
        <w:bCs/>
        <w:sz w:val="24"/>
      </w:rPr>
      <w:t xml:space="preserve">Attachment B </w:t>
    </w:r>
  </w:p>
  <w:p w:rsidR="00FE0C41" w:rsidRPr="007A22EF" w:rsidRDefault="00FE0C41" w:rsidP="007A22EF">
    <w:pPr>
      <w:jc w:val="center"/>
      <w:rPr>
        <w:b/>
        <w:bCs/>
        <w:sz w:val="24"/>
      </w:rPr>
    </w:pPr>
    <w:r>
      <w:rPr>
        <w:b/>
        <w:bCs/>
        <w:sz w:val="24"/>
      </w:rPr>
      <w:t xml:space="preserve">Reference Form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rsidP="007A22EF">
    <w:pPr>
      <w:jc w:val="center"/>
      <w:rPr>
        <w:b/>
        <w:bCs/>
        <w:sz w:val="24"/>
      </w:rPr>
    </w:pPr>
    <w:r>
      <w:rPr>
        <w:b/>
        <w:bCs/>
        <w:sz w:val="24"/>
      </w:rPr>
      <w:t>Attachment D</w:t>
    </w:r>
  </w:p>
  <w:p w:rsidR="00FE0C41" w:rsidRPr="007A22EF" w:rsidRDefault="00FE0C41" w:rsidP="007A22EF">
    <w:pPr>
      <w:jc w:val="center"/>
      <w:rPr>
        <w:b/>
        <w:bCs/>
        <w:sz w:val="24"/>
      </w:rPr>
    </w:pPr>
    <w:r>
      <w:rPr>
        <w:b/>
        <w:bCs/>
        <w:sz w:val="24"/>
      </w:rPr>
      <w:t>Reference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41" w:rsidRDefault="00FE0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1BF"/>
    <w:multiLevelType w:val="hybridMultilevel"/>
    <w:tmpl w:val="2700A17A"/>
    <w:lvl w:ilvl="0" w:tplc="653AE748">
      <w:start w:val="1"/>
      <w:numFmt w:val="upperLetter"/>
      <w:pStyle w:val="TextL1"/>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008BF"/>
    <w:multiLevelType w:val="hybridMultilevel"/>
    <w:tmpl w:val="07F83640"/>
    <w:lvl w:ilvl="0" w:tplc="BF443076">
      <w:start w:val="1"/>
      <w:numFmt w:val="lowerLetter"/>
      <w:pStyle w:val="TextL3"/>
      <w:lvlText w:val="%1."/>
      <w:lvlJc w:val="left"/>
      <w:pPr>
        <w:ind w:left="34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0582782"/>
    <w:multiLevelType w:val="multilevel"/>
    <w:tmpl w:val="7898BCA8"/>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2015"/>
        </w:tabs>
        <w:ind w:left="2015" w:hanging="1080"/>
      </w:pPr>
      <w:rPr>
        <w:rFonts w:hint="default"/>
      </w:rPr>
    </w:lvl>
    <w:lvl w:ilvl="2">
      <w:start w:val="1"/>
      <w:numFmt w:val="decimal"/>
      <w:pStyle w:val="Level3"/>
      <w:lvlText w:val="%1.%2.%3"/>
      <w:lvlJc w:val="left"/>
      <w:pPr>
        <w:tabs>
          <w:tab w:val="num" w:pos="2880"/>
        </w:tabs>
        <w:ind w:left="2880" w:hanging="108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171A726F"/>
    <w:multiLevelType w:val="multilevel"/>
    <w:tmpl w:val="1184714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296"/>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229A2785"/>
    <w:multiLevelType w:val="hybridMultilevel"/>
    <w:tmpl w:val="9078C16A"/>
    <w:lvl w:ilvl="0" w:tplc="7D02559A">
      <w:start w:val="1"/>
      <w:numFmt w:val="decimal"/>
      <w:pStyle w:val="Heading2"/>
      <w:lvlText w:val="%1."/>
      <w:lvlJc w:val="center"/>
      <w:pPr>
        <w:ind w:left="81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B4A7071"/>
    <w:multiLevelType w:val="hybridMultilevel"/>
    <w:tmpl w:val="452E4FBA"/>
    <w:lvl w:ilvl="0" w:tplc="7804D4AC">
      <w:start w:val="1"/>
      <w:numFmt w:val="upperLetter"/>
      <w:pStyle w:val="Heading1"/>
      <w:lvlText w:val="%1."/>
      <w:lvlJc w:val="center"/>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166FD"/>
    <w:multiLevelType w:val="hybridMultilevel"/>
    <w:tmpl w:val="6F42D7A2"/>
    <w:lvl w:ilvl="0" w:tplc="6198627C">
      <w:start w:val="1"/>
      <w:numFmt w:val="upperRoman"/>
      <w:lvlText w:val="%1."/>
      <w:lvlJc w:val="left"/>
      <w:pPr>
        <w:ind w:left="37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85C75"/>
    <w:multiLevelType w:val="hybridMultilevel"/>
    <w:tmpl w:val="80C0CFF4"/>
    <w:lvl w:ilvl="0" w:tplc="6198627C">
      <w:start w:val="1"/>
      <w:numFmt w:val="upperRoman"/>
      <w:lvlText w:val="%1."/>
      <w:lvlJc w:val="left"/>
      <w:pPr>
        <w:ind w:left="37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50969"/>
    <w:multiLevelType w:val="hybridMultilevel"/>
    <w:tmpl w:val="B8F65F10"/>
    <w:lvl w:ilvl="0" w:tplc="04849FEE">
      <w:start w:val="1"/>
      <w:numFmt w:val="decimal"/>
      <w:pStyle w:val="TextL2"/>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61177"/>
    <w:multiLevelType w:val="hybridMultilevel"/>
    <w:tmpl w:val="B43AAEA4"/>
    <w:lvl w:ilvl="0" w:tplc="7E5AD050">
      <w:start w:val="1"/>
      <w:numFmt w:val="lowerLetter"/>
      <w:pStyle w:val="TableL3"/>
      <w:lvlText w:val="%1."/>
      <w:lvlJc w:val="left"/>
      <w:pPr>
        <w:ind w:left="425" w:hanging="360"/>
      </w:p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num w:numId="1">
    <w:abstractNumId w:val="6"/>
  </w:num>
  <w:num w:numId="2">
    <w:abstractNumId w:val="4"/>
  </w:num>
  <w:num w:numId="3">
    <w:abstractNumId w:val="10"/>
  </w:num>
  <w:num w:numId="4">
    <w:abstractNumId w:val="0"/>
  </w:num>
  <w:num w:numId="5">
    <w:abstractNumId w:val="1"/>
  </w:num>
  <w:num w:numId="6">
    <w:abstractNumId w:val="1"/>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num>
  <w:num w:numId="10">
    <w:abstractNumId w:val="9"/>
    <w:lvlOverride w:ilvl="0">
      <w:startOverride w:val="1"/>
    </w:lvlOverride>
  </w:num>
  <w:num w:numId="11">
    <w:abstractNumId w:val="2"/>
  </w:num>
  <w:num w:numId="12">
    <w:abstractNumId w:val="8"/>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num>
  <w:num w:numId="17">
    <w:abstractNumId w:val="9"/>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num>
  <w:num w:numId="21">
    <w:abstractNumId w:val="1"/>
    <w:lvlOverride w:ilvl="0">
      <w:startOverride w:val="1"/>
    </w:lvlOverride>
  </w:num>
  <w:num w:numId="22">
    <w:abstractNumId w:val="1"/>
  </w:num>
  <w:num w:numId="23">
    <w:abstractNumId w:val="1"/>
    <w:lvlOverride w:ilvl="0">
      <w:startOverride w:val="1"/>
    </w:lvlOverride>
  </w:num>
  <w:num w:numId="24">
    <w:abstractNumId w:val="1"/>
  </w:num>
  <w:num w:numId="25">
    <w:abstractNumId w:val="1"/>
    <w:lvlOverride w:ilvl="0">
      <w:startOverride w:val="1"/>
    </w:lvlOverride>
  </w:num>
  <w:num w:numId="26">
    <w:abstractNumId w:val="1"/>
  </w:num>
  <w:num w:numId="27">
    <w:abstractNumId w:val="1"/>
    <w:lvlOverride w:ilvl="0">
      <w:startOverride w:val="1"/>
    </w:lvlOverride>
  </w:num>
  <w:num w:numId="28">
    <w:abstractNumId w:val="1"/>
  </w:num>
  <w:num w:numId="29">
    <w:abstractNumId w:val="1"/>
    <w:lvlOverride w:ilvl="0">
      <w:startOverride w:val="1"/>
    </w:lvlOverride>
  </w:num>
  <w:num w:numId="30">
    <w:abstractNumId w:val="1"/>
  </w:num>
  <w:num w:numId="31">
    <w:abstractNumId w:val="1"/>
    <w:lvlOverride w:ilvl="0">
      <w:startOverride w:val="1"/>
    </w:lvlOverride>
  </w:num>
  <w:num w:numId="32">
    <w:abstractNumId w:val="7"/>
  </w:num>
  <w:num w:numId="33">
    <w:abstractNumId w:val="9"/>
  </w:num>
  <w:num w:numId="34">
    <w:abstractNumId w:val="9"/>
    <w:lvlOverride w:ilvl="0">
      <w:startOverride w:val="1"/>
    </w:lvlOverride>
  </w:num>
  <w:num w:numId="35">
    <w:abstractNumId w:val="9"/>
  </w:num>
  <w:num w:numId="36">
    <w:abstractNumId w:val="9"/>
    <w:lvlOverride w:ilvl="0">
      <w:startOverride w:val="1"/>
    </w:lvlOverride>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num>
  <w:num w:numId="40">
    <w:abstractNumId w:val="9"/>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88"/>
    <w:rsid w:val="000009F1"/>
    <w:rsid w:val="00020BA1"/>
    <w:rsid w:val="000238FC"/>
    <w:rsid w:val="00030F84"/>
    <w:rsid w:val="000311A0"/>
    <w:rsid w:val="00032023"/>
    <w:rsid w:val="000355A6"/>
    <w:rsid w:val="0004705D"/>
    <w:rsid w:val="00051DB6"/>
    <w:rsid w:val="00052661"/>
    <w:rsid w:val="00082B83"/>
    <w:rsid w:val="00083209"/>
    <w:rsid w:val="0009146D"/>
    <w:rsid w:val="0009365F"/>
    <w:rsid w:val="00094815"/>
    <w:rsid w:val="000A426B"/>
    <w:rsid w:val="000B0DE6"/>
    <w:rsid w:val="000B1D4A"/>
    <w:rsid w:val="000B508E"/>
    <w:rsid w:val="000B663A"/>
    <w:rsid w:val="000C30A6"/>
    <w:rsid w:val="000D30BA"/>
    <w:rsid w:val="000E4F66"/>
    <w:rsid w:val="000F0CA4"/>
    <w:rsid w:val="0010349F"/>
    <w:rsid w:val="00115DBD"/>
    <w:rsid w:val="0011615B"/>
    <w:rsid w:val="001224AF"/>
    <w:rsid w:val="00137A53"/>
    <w:rsid w:val="0014351C"/>
    <w:rsid w:val="00152FA1"/>
    <w:rsid w:val="001548C3"/>
    <w:rsid w:val="00155C31"/>
    <w:rsid w:val="0017292E"/>
    <w:rsid w:val="00180218"/>
    <w:rsid w:val="00183B19"/>
    <w:rsid w:val="0019064C"/>
    <w:rsid w:val="00191B60"/>
    <w:rsid w:val="00193CFE"/>
    <w:rsid w:val="001968DB"/>
    <w:rsid w:val="001A0825"/>
    <w:rsid w:val="001A0A59"/>
    <w:rsid w:val="001A1EED"/>
    <w:rsid w:val="001A58AC"/>
    <w:rsid w:val="001B2B96"/>
    <w:rsid w:val="001C0E14"/>
    <w:rsid w:val="001C3873"/>
    <w:rsid w:val="001C3E83"/>
    <w:rsid w:val="001C447F"/>
    <w:rsid w:val="001C6007"/>
    <w:rsid w:val="001D2231"/>
    <w:rsid w:val="001D2974"/>
    <w:rsid w:val="001E0C3E"/>
    <w:rsid w:val="001E23F9"/>
    <w:rsid w:val="001F5BA9"/>
    <w:rsid w:val="00201466"/>
    <w:rsid w:val="002031E8"/>
    <w:rsid w:val="00216B80"/>
    <w:rsid w:val="002345F5"/>
    <w:rsid w:val="00236A03"/>
    <w:rsid w:val="00241472"/>
    <w:rsid w:val="00242019"/>
    <w:rsid w:val="00251204"/>
    <w:rsid w:val="002563D3"/>
    <w:rsid w:val="00256569"/>
    <w:rsid w:val="002717A8"/>
    <w:rsid w:val="00276418"/>
    <w:rsid w:val="00281B69"/>
    <w:rsid w:val="00284CC0"/>
    <w:rsid w:val="00285EC2"/>
    <w:rsid w:val="0029034A"/>
    <w:rsid w:val="002908D8"/>
    <w:rsid w:val="002976E1"/>
    <w:rsid w:val="002A492C"/>
    <w:rsid w:val="002A505A"/>
    <w:rsid w:val="002B6773"/>
    <w:rsid w:val="002B791F"/>
    <w:rsid w:val="002C499B"/>
    <w:rsid w:val="002C77A5"/>
    <w:rsid w:val="002F32E7"/>
    <w:rsid w:val="002F5D1F"/>
    <w:rsid w:val="0030189A"/>
    <w:rsid w:val="00302E7D"/>
    <w:rsid w:val="00304C90"/>
    <w:rsid w:val="00320909"/>
    <w:rsid w:val="00323743"/>
    <w:rsid w:val="0032416C"/>
    <w:rsid w:val="00324C4A"/>
    <w:rsid w:val="00326056"/>
    <w:rsid w:val="00341565"/>
    <w:rsid w:val="00356598"/>
    <w:rsid w:val="003607C3"/>
    <w:rsid w:val="00371CB5"/>
    <w:rsid w:val="0037392C"/>
    <w:rsid w:val="0038475C"/>
    <w:rsid w:val="003855C4"/>
    <w:rsid w:val="003A26A6"/>
    <w:rsid w:val="003A3C7F"/>
    <w:rsid w:val="003B5CC1"/>
    <w:rsid w:val="003B666C"/>
    <w:rsid w:val="003C2CDD"/>
    <w:rsid w:val="003D0040"/>
    <w:rsid w:val="003D3CD8"/>
    <w:rsid w:val="003D6AA0"/>
    <w:rsid w:val="003E4112"/>
    <w:rsid w:val="00402D44"/>
    <w:rsid w:val="004035A8"/>
    <w:rsid w:val="004100EF"/>
    <w:rsid w:val="00415F16"/>
    <w:rsid w:val="00421EF7"/>
    <w:rsid w:val="004234EC"/>
    <w:rsid w:val="004250E5"/>
    <w:rsid w:val="00427869"/>
    <w:rsid w:val="00430029"/>
    <w:rsid w:val="00445314"/>
    <w:rsid w:val="00445373"/>
    <w:rsid w:val="004453E8"/>
    <w:rsid w:val="0046036E"/>
    <w:rsid w:val="00460F72"/>
    <w:rsid w:val="00466A09"/>
    <w:rsid w:val="00471E13"/>
    <w:rsid w:val="0048194A"/>
    <w:rsid w:val="00484A4A"/>
    <w:rsid w:val="00487414"/>
    <w:rsid w:val="00493DEE"/>
    <w:rsid w:val="00494D53"/>
    <w:rsid w:val="004A0951"/>
    <w:rsid w:val="004A0C21"/>
    <w:rsid w:val="004A20A1"/>
    <w:rsid w:val="004A464B"/>
    <w:rsid w:val="004A52A5"/>
    <w:rsid w:val="004B5F96"/>
    <w:rsid w:val="004C0B77"/>
    <w:rsid w:val="004E23AE"/>
    <w:rsid w:val="004E3FAC"/>
    <w:rsid w:val="004F767B"/>
    <w:rsid w:val="00517614"/>
    <w:rsid w:val="005203B1"/>
    <w:rsid w:val="005303CB"/>
    <w:rsid w:val="00536286"/>
    <w:rsid w:val="00537E84"/>
    <w:rsid w:val="0054176C"/>
    <w:rsid w:val="00541B36"/>
    <w:rsid w:val="00551153"/>
    <w:rsid w:val="00551520"/>
    <w:rsid w:val="00557C5B"/>
    <w:rsid w:val="00566FEF"/>
    <w:rsid w:val="00570AD0"/>
    <w:rsid w:val="0057100C"/>
    <w:rsid w:val="00577397"/>
    <w:rsid w:val="00591092"/>
    <w:rsid w:val="00592B72"/>
    <w:rsid w:val="005960AE"/>
    <w:rsid w:val="005A2860"/>
    <w:rsid w:val="005A36BD"/>
    <w:rsid w:val="005B4F7D"/>
    <w:rsid w:val="005C3B3C"/>
    <w:rsid w:val="005D7A28"/>
    <w:rsid w:val="005E1552"/>
    <w:rsid w:val="005E16A0"/>
    <w:rsid w:val="005F5204"/>
    <w:rsid w:val="005F73E3"/>
    <w:rsid w:val="005F7ED2"/>
    <w:rsid w:val="0060383C"/>
    <w:rsid w:val="00603FDD"/>
    <w:rsid w:val="00605404"/>
    <w:rsid w:val="00611ADD"/>
    <w:rsid w:val="00613F84"/>
    <w:rsid w:val="0061697F"/>
    <w:rsid w:val="00621560"/>
    <w:rsid w:val="00643871"/>
    <w:rsid w:val="006468B5"/>
    <w:rsid w:val="0064773E"/>
    <w:rsid w:val="00647A02"/>
    <w:rsid w:val="00650902"/>
    <w:rsid w:val="00656909"/>
    <w:rsid w:val="00657033"/>
    <w:rsid w:val="00660576"/>
    <w:rsid w:val="00660772"/>
    <w:rsid w:val="00661924"/>
    <w:rsid w:val="00663860"/>
    <w:rsid w:val="0066568D"/>
    <w:rsid w:val="00665A1F"/>
    <w:rsid w:val="006669B0"/>
    <w:rsid w:val="00667FAA"/>
    <w:rsid w:val="006809BE"/>
    <w:rsid w:val="006A1D23"/>
    <w:rsid w:val="006B024F"/>
    <w:rsid w:val="006C17CD"/>
    <w:rsid w:val="006C6C64"/>
    <w:rsid w:val="006D359B"/>
    <w:rsid w:val="006D46E0"/>
    <w:rsid w:val="006D6765"/>
    <w:rsid w:val="006E0543"/>
    <w:rsid w:val="006E0D96"/>
    <w:rsid w:val="007207C4"/>
    <w:rsid w:val="007220D1"/>
    <w:rsid w:val="007222B4"/>
    <w:rsid w:val="007251FB"/>
    <w:rsid w:val="00725764"/>
    <w:rsid w:val="0072780B"/>
    <w:rsid w:val="00730088"/>
    <w:rsid w:val="0074634A"/>
    <w:rsid w:val="00770612"/>
    <w:rsid w:val="00785030"/>
    <w:rsid w:val="0079657C"/>
    <w:rsid w:val="00796972"/>
    <w:rsid w:val="007A126F"/>
    <w:rsid w:val="007A22EF"/>
    <w:rsid w:val="007A364F"/>
    <w:rsid w:val="007B5CB8"/>
    <w:rsid w:val="007C6AF9"/>
    <w:rsid w:val="007D09F1"/>
    <w:rsid w:val="007D476B"/>
    <w:rsid w:val="007D4F64"/>
    <w:rsid w:val="007D7D48"/>
    <w:rsid w:val="007E55E6"/>
    <w:rsid w:val="007F0D18"/>
    <w:rsid w:val="008024C7"/>
    <w:rsid w:val="008069C7"/>
    <w:rsid w:val="0081622C"/>
    <w:rsid w:val="00820AD7"/>
    <w:rsid w:val="00821B08"/>
    <w:rsid w:val="008375D9"/>
    <w:rsid w:val="008410CF"/>
    <w:rsid w:val="00845EF2"/>
    <w:rsid w:val="0084652C"/>
    <w:rsid w:val="00852BC3"/>
    <w:rsid w:val="00854FED"/>
    <w:rsid w:val="00856184"/>
    <w:rsid w:val="00860AA4"/>
    <w:rsid w:val="00862447"/>
    <w:rsid w:val="00870F47"/>
    <w:rsid w:val="00872E9E"/>
    <w:rsid w:val="0087769E"/>
    <w:rsid w:val="0088239C"/>
    <w:rsid w:val="00886A07"/>
    <w:rsid w:val="008B03FF"/>
    <w:rsid w:val="008B4A9D"/>
    <w:rsid w:val="008C0FDB"/>
    <w:rsid w:val="008C5BF3"/>
    <w:rsid w:val="008D707A"/>
    <w:rsid w:val="008E2070"/>
    <w:rsid w:val="008E6BEA"/>
    <w:rsid w:val="008F0C20"/>
    <w:rsid w:val="008F1686"/>
    <w:rsid w:val="008F19F3"/>
    <w:rsid w:val="00900B0B"/>
    <w:rsid w:val="00913EC1"/>
    <w:rsid w:val="009163EB"/>
    <w:rsid w:val="00917671"/>
    <w:rsid w:val="00917C6A"/>
    <w:rsid w:val="00926B80"/>
    <w:rsid w:val="00931298"/>
    <w:rsid w:val="00935162"/>
    <w:rsid w:val="00947857"/>
    <w:rsid w:val="00955F68"/>
    <w:rsid w:val="009573A9"/>
    <w:rsid w:val="00963EAA"/>
    <w:rsid w:val="0097790A"/>
    <w:rsid w:val="00983E82"/>
    <w:rsid w:val="00991988"/>
    <w:rsid w:val="00995423"/>
    <w:rsid w:val="009A0EB9"/>
    <w:rsid w:val="009A0EC6"/>
    <w:rsid w:val="009A2DC0"/>
    <w:rsid w:val="009A7DB7"/>
    <w:rsid w:val="009B2449"/>
    <w:rsid w:val="009B514C"/>
    <w:rsid w:val="009C41BF"/>
    <w:rsid w:val="009D1001"/>
    <w:rsid w:val="009E3181"/>
    <w:rsid w:val="009E7E92"/>
    <w:rsid w:val="00A01B5A"/>
    <w:rsid w:val="00A06E37"/>
    <w:rsid w:val="00A423ED"/>
    <w:rsid w:val="00A46ED2"/>
    <w:rsid w:val="00A525F2"/>
    <w:rsid w:val="00A63AC3"/>
    <w:rsid w:val="00A77713"/>
    <w:rsid w:val="00A84A45"/>
    <w:rsid w:val="00A875E6"/>
    <w:rsid w:val="00A87A3C"/>
    <w:rsid w:val="00A914A9"/>
    <w:rsid w:val="00AA0464"/>
    <w:rsid w:val="00AA4BBE"/>
    <w:rsid w:val="00AA4DF8"/>
    <w:rsid w:val="00AA6C9D"/>
    <w:rsid w:val="00AB1AE8"/>
    <w:rsid w:val="00AB2D9E"/>
    <w:rsid w:val="00AB3AC7"/>
    <w:rsid w:val="00AB57D2"/>
    <w:rsid w:val="00AC469B"/>
    <w:rsid w:val="00AC6A5B"/>
    <w:rsid w:val="00AC7800"/>
    <w:rsid w:val="00AE5939"/>
    <w:rsid w:val="00AE75E6"/>
    <w:rsid w:val="00B060B4"/>
    <w:rsid w:val="00B06DC8"/>
    <w:rsid w:val="00B177CE"/>
    <w:rsid w:val="00B20CDE"/>
    <w:rsid w:val="00B4404C"/>
    <w:rsid w:val="00B513FB"/>
    <w:rsid w:val="00B51628"/>
    <w:rsid w:val="00B55516"/>
    <w:rsid w:val="00B57ECD"/>
    <w:rsid w:val="00B619CA"/>
    <w:rsid w:val="00B62AB2"/>
    <w:rsid w:val="00B66F59"/>
    <w:rsid w:val="00B75141"/>
    <w:rsid w:val="00B76BC1"/>
    <w:rsid w:val="00B77517"/>
    <w:rsid w:val="00B9532B"/>
    <w:rsid w:val="00BA25D5"/>
    <w:rsid w:val="00BA42C6"/>
    <w:rsid w:val="00BA6D6F"/>
    <w:rsid w:val="00BC7F37"/>
    <w:rsid w:val="00BD06DE"/>
    <w:rsid w:val="00BD4532"/>
    <w:rsid w:val="00BE21AB"/>
    <w:rsid w:val="00BE416C"/>
    <w:rsid w:val="00BF43FC"/>
    <w:rsid w:val="00BF7434"/>
    <w:rsid w:val="00C0037C"/>
    <w:rsid w:val="00C04552"/>
    <w:rsid w:val="00C04BBA"/>
    <w:rsid w:val="00C06665"/>
    <w:rsid w:val="00C1118A"/>
    <w:rsid w:val="00C15F82"/>
    <w:rsid w:val="00C16533"/>
    <w:rsid w:val="00C166AE"/>
    <w:rsid w:val="00C22AD4"/>
    <w:rsid w:val="00C4160F"/>
    <w:rsid w:val="00C5126D"/>
    <w:rsid w:val="00C54B5D"/>
    <w:rsid w:val="00C61029"/>
    <w:rsid w:val="00C72956"/>
    <w:rsid w:val="00C7780F"/>
    <w:rsid w:val="00C82664"/>
    <w:rsid w:val="00C82F69"/>
    <w:rsid w:val="00CA3866"/>
    <w:rsid w:val="00CC708D"/>
    <w:rsid w:val="00CD613F"/>
    <w:rsid w:val="00CD696E"/>
    <w:rsid w:val="00D16902"/>
    <w:rsid w:val="00D26D75"/>
    <w:rsid w:val="00D33B70"/>
    <w:rsid w:val="00D50D23"/>
    <w:rsid w:val="00D5169E"/>
    <w:rsid w:val="00D574F5"/>
    <w:rsid w:val="00D74591"/>
    <w:rsid w:val="00D8163A"/>
    <w:rsid w:val="00D838B6"/>
    <w:rsid w:val="00D85A97"/>
    <w:rsid w:val="00D92C47"/>
    <w:rsid w:val="00D95A67"/>
    <w:rsid w:val="00D95B13"/>
    <w:rsid w:val="00DA06A6"/>
    <w:rsid w:val="00DA3ADB"/>
    <w:rsid w:val="00DA67DA"/>
    <w:rsid w:val="00DA7F31"/>
    <w:rsid w:val="00DB1B0A"/>
    <w:rsid w:val="00DB63E5"/>
    <w:rsid w:val="00DC13BD"/>
    <w:rsid w:val="00DC2A41"/>
    <w:rsid w:val="00DC66FA"/>
    <w:rsid w:val="00DD558B"/>
    <w:rsid w:val="00E0508B"/>
    <w:rsid w:val="00E12AA2"/>
    <w:rsid w:val="00E13ADF"/>
    <w:rsid w:val="00E17C23"/>
    <w:rsid w:val="00E223F4"/>
    <w:rsid w:val="00E36E61"/>
    <w:rsid w:val="00E3748D"/>
    <w:rsid w:val="00E422F2"/>
    <w:rsid w:val="00E460B8"/>
    <w:rsid w:val="00E52F4D"/>
    <w:rsid w:val="00E62A59"/>
    <w:rsid w:val="00E65AC3"/>
    <w:rsid w:val="00E66BEF"/>
    <w:rsid w:val="00E82648"/>
    <w:rsid w:val="00E85560"/>
    <w:rsid w:val="00E909ED"/>
    <w:rsid w:val="00EA1ECE"/>
    <w:rsid w:val="00EA32AD"/>
    <w:rsid w:val="00EA32E0"/>
    <w:rsid w:val="00EA4FDC"/>
    <w:rsid w:val="00EA5980"/>
    <w:rsid w:val="00EA65C6"/>
    <w:rsid w:val="00EB22F2"/>
    <w:rsid w:val="00EB41F6"/>
    <w:rsid w:val="00EB6294"/>
    <w:rsid w:val="00EC0782"/>
    <w:rsid w:val="00EC22EE"/>
    <w:rsid w:val="00EC257A"/>
    <w:rsid w:val="00EC372B"/>
    <w:rsid w:val="00EE3E58"/>
    <w:rsid w:val="00EF0A6F"/>
    <w:rsid w:val="00EF5F6B"/>
    <w:rsid w:val="00EF69C0"/>
    <w:rsid w:val="00EF7152"/>
    <w:rsid w:val="00EF7F2F"/>
    <w:rsid w:val="00F04BB1"/>
    <w:rsid w:val="00F17D1E"/>
    <w:rsid w:val="00F30077"/>
    <w:rsid w:val="00F30878"/>
    <w:rsid w:val="00F32F91"/>
    <w:rsid w:val="00F43B89"/>
    <w:rsid w:val="00F51DD9"/>
    <w:rsid w:val="00F54D3A"/>
    <w:rsid w:val="00F626BA"/>
    <w:rsid w:val="00F62B1B"/>
    <w:rsid w:val="00F75B85"/>
    <w:rsid w:val="00F84B9F"/>
    <w:rsid w:val="00F91B56"/>
    <w:rsid w:val="00F95B0E"/>
    <w:rsid w:val="00FA0376"/>
    <w:rsid w:val="00FA22FA"/>
    <w:rsid w:val="00FA5EF6"/>
    <w:rsid w:val="00FC087E"/>
    <w:rsid w:val="00FC6949"/>
    <w:rsid w:val="00FE0326"/>
    <w:rsid w:val="00FE0C41"/>
    <w:rsid w:val="00FE2E99"/>
    <w:rsid w:val="00FE684A"/>
    <w:rsid w:val="00FE7642"/>
    <w:rsid w:val="00FF1A15"/>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EA61B3"/>
  <w15:docId w15:val="{9699F6A6-72D5-499D-9415-92606DF9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14"/>
    <w:pPr>
      <w:spacing w:after="0" w:line="240" w:lineRule="auto"/>
    </w:pPr>
  </w:style>
  <w:style w:type="paragraph" w:styleId="Heading1">
    <w:name w:val="heading 1"/>
    <w:aliases w:val="Table L1"/>
    <w:basedOn w:val="Normal"/>
    <w:next w:val="Normal"/>
    <w:link w:val="Heading1Char"/>
    <w:uiPriority w:val="9"/>
    <w:qFormat/>
    <w:rsid w:val="00052661"/>
    <w:pPr>
      <w:keepNext/>
      <w:keepLines/>
      <w:numPr>
        <w:numId w:val="1"/>
      </w:numPr>
      <w:jc w:val="center"/>
      <w:outlineLvl w:val="0"/>
    </w:pPr>
    <w:rPr>
      <w:rFonts w:eastAsiaTheme="majorEastAsia" w:cstheme="majorBidi"/>
      <w:b/>
      <w:sz w:val="28"/>
      <w:szCs w:val="32"/>
    </w:rPr>
  </w:style>
  <w:style w:type="paragraph" w:styleId="Heading2">
    <w:name w:val="heading 2"/>
    <w:aliases w:val="Table L2"/>
    <w:basedOn w:val="Normal"/>
    <w:next w:val="Normal"/>
    <w:link w:val="Heading2Char"/>
    <w:uiPriority w:val="9"/>
    <w:unhideWhenUsed/>
    <w:qFormat/>
    <w:rsid w:val="00052661"/>
    <w:pPr>
      <w:keepNext/>
      <w:keepLines/>
      <w:numPr>
        <w:numId w:val="2"/>
      </w:numPr>
      <w:jc w:val="center"/>
      <w:outlineLvl w:val="1"/>
    </w:pPr>
    <w:rPr>
      <w:rFonts w:eastAsiaTheme="majorEastAsia" w:cstheme="majorBidi"/>
      <w:b/>
      <w:szCs w:val="26"/>
    </w:rPr>
  </w:style>
  <w:style w:type="paragraph" w:styleId="Heading9">
    <w:name w:val="heading 9"/>
    <w:basedOn w:val="Normal"/>
    <w:next w:val="Normal"/>
    <w:link w:val="Heading9Char"/>
    <w:uiPriority w:val="9"/>
    <w:semiHidden/>
    <w:unhideWhenUsed/>
    <w:qFormat/>
    <w:rsid w:val="00D95A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 L1 Char"/>
    <w:basedOn w:val="DefaultParagraphFont"/>
    <w:link w:val="Heading1"/>
    <w:uiPriority w:val="9"/>
    <w:rsid w:val="001968DB"/>
    <w:rPr>
      <w:rFonts w:eastAsiaTheme="majorEastAsia" w:cstheme="majorBidi"/>
      <w:b/>
      <w:sz w:val="28"/>
      <w:szCs w:val="32"/>
    </w:rPr>
  </w:style>
  <w:style w:type="character" w:customStyle="1" w:styleId="Heading2Char">
    <w:name w:val="Heading 2 Char"/>
    <w:aliases w:val="Table L2 Char"/>
    <w:basedOn w:val="DefaultParagraphFont"/>
    <w:link w:val="Heading2"/>
    <w:uiPriority w:val="9"/>
    <w:rsid w:val="001968DB"/>
    <w:rPr>
      <w:rFonts w:eastAsiaTheme="majorEastAsia" w:cstheme="majorBidi"/>
      <w:b/>
      <w:szCs w:val="26"/>
    </w:rPr>
  </w:style>
  <w:style w:type="paragraph" w:styleId="Quote">
    <w:name w:val="Quote"/>
    <w:basedOn w:val="Normal"/>
    <w:next w:val="Normal"/>
    <w:link w:val="QuoteChar"/>
    <w:uiPriority w:val="29"/>
    <w:rsid w:val="007278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780B"/>
    <w:rPr>
      <w:i/>
      <w:iCs/>
      <w:color w:val="404040" w:themeColor="text1" w:themeTint="BF"/>
    </w:rPr>
  </w:style>
  <w:style w:type="character" w:styleId="IntenseEmphasis">
    <w:name w:val="Intense Emphasis"/>
    <w:basedOn w:val="DefaultParagraphFont"/>
    <w:uiPriority w:val="21"/>
    <w:rsid w:val="0072780B"/>
    <w:rPr>
      <w:i/>
      <w:iCs/>
      <w:color w:val="5B9BD5" w:themeColor="accent1"/>
    </w:rPr>
  </w:style>
  <w:style w:type="character" w:styleId="SubtleReference">
    <w:name w:val="Subtle Reference"/>
    <w:basedOn w:val="DefaultParagraphFont"/>
    <w:uiPriority w:val="31"/>
    <w:rsid w:val="0072780B"/>
    <w:rPr>
      <w:smallCaps/>
      <w:color w:val="5A5A5A" w:themeColor="text1" w:themeTint="A5"/>
    </w:rPr>
  </w:style>
  <w:style w:type="paragraph" w:customStyle="1" w:styleId="TableL3">
    <w:name w:val="Table L3"/>
    <w:basedOn w:val="Normal"/>
    <w:link w:val="TableL3Char"/>
    <w:uiPriority w:val="99"/>
    <w:qFormat/>
    <w:rsid w:val="00137A53"/>
    <w:pPr>
      <w:numPr>
        <w:numId w:val="3"/>
      </w:numPr>
    </w:pPr>
  </w:style>
  <w:style w:type="character" w:customStyle="1" w:styleId="TableL3Char">
    <w:name w:val="Table L3 Char"/>
    <w:basedOn w:val="DefaultParagraphFont"/>
    <w:link w:val="TableL3"/>
    <w:uiPriority w:val="99"/>
    <w:rsid w:val="00137A53"/>
  </w:style>
  <w:style w:type="paragraph" w:styleId="Footer">
    <w:name w:val="footer"/>
    <w:basedOn w:val="Normal"/>
    <w:link w:val="FooterChar"/>
    <w:uiPriority w:val="99"/>
    <w:rsid w:val="00487414"/>
    <w:pPr>
      <w:widowControl w:val="0"/>
      <w:tabs>
        <w:tab w:val="center" w:pos="4320"/>
        <w:tab w:val="right" w:pos="8640"/>
      </w:tabs>
      <w:autoSpaceDE w:val="0"/>
      <w:autoSpaceDN w:val="0"/>
      <w:adjustRightInd w:val="0"/>
    </w:pPr>
    <w:rPr>
      <w:rFonts w:eastAsia="Times New Roman" w:cs="Times New Roman"/>
      <w:szCs w:val="24"/>
    </w:rPr>
  </w:style>
  <w:style w:type="character" w:customStyle="1" w:styleId="FooterChar">
    <w:name w:val="Footer Char"/>
    <w:basedOn w:val="DefaultParagraphFont"/>
    <w:link w:val="Footer"/>
    <w:uiPriority w:val="99"/>
    <w:rsid w:val="00487414"/>
    <w:rPr>
      <w:rFonts w:eastAsia="Times New Roman" w:cs="Times New Roman"/>
      <w:szCs w:val="24"/>
    </w:rPr>
  </w:style>
  <w:style w:type="character" w:styleId="PageNumber">
    <w:name w:val="page number"/>
    <w:basedOn w:val="DefaultParagraphFont"/>
    <w:rsid w:val="00487414"/>
  </w:style>
  <w:style w:type="paragraph" w:styleId="Header">
    <w:name w:val="header"/>
    <w:basedOn w:val="Normal"/>
    <w:link w:val="HeaderChar"/>
    <w:uiPriority w:val="99"/>
    <w:unhideWhenUsed/>
    <w:rsid w:val="00C16533"/>
    <w:pPr>
      <w:tabs>
        <w:tab w:val="center" w:pos="4680"/>
        <w:tab w:val="right" w:pos="9360"/>
      </w:tabs>
    </w:pPr>
  </w:style>
  <w:style w:type="character" w:customStyle="1" w:styleId="HeaderChar">
    <w:name w:val="Header Char"/>
    <w:basedOn w:val="DefaultParagraphFont"/>
    <w:link w:val="Header"/>
    <w:uiPriority w:val="99"/>
    <w:rsid w:val="00C16533"/>
  </w:style>
  <w:style w:type="paragraph" w:styleId="ListParagraph">
    <w:name w:val="List Paragraph"/>
    <w:basedOn w:val="Normal"/>
    <w:link w:val="ListParagraphChar"/>
    <w:uiPriority w:val="34"/>
    <w:qFormat/>
    <w:rsid w:val="00180218"/>
    <w:pPr>
      <w:ind w:left="720"/>
      <w:contextualSpacing/>
    </w:pPr>
  </w:style>
  <w:style w:type="paragraph" w:customStyle="1" w:styleId="TextL1">
    <w:name w:val="Text L1"/>
    <w:basedOn w:val="ListParagraph"/>
    <w:link w:val="TextL1Char"/>
    <w:qFormat/>
    <w:rsid w:val="00B66F59"/>
    <w:pPr>
      <w:numPr>
        <w:numId w:val="4"/>
      </w:numPr>
      <w:spacing w:before="240" w:after="240"/>
    </w:pPr>
    <w:rPr>
      <w:b/>
    </w:rPr>
  </w:style>
  <w:style w:type="paragraph" w:customStyle="1" w:styleId="TextL2">
    <w:name w:val="Text L2"/>
    <w:basedOn w:val="ListParagraph"/>
    <w:link w:val="TextL2Char"/>
    <w:qFormat/>
    <w:rsid w:val="00C0037C"/>
    <w:pPr>
      <w:numPr>
        <w:numId w:val="16"/>
      </w:numPr>
      <w:spacing w:after="240"/>
      <w:contextualSpacing w:val="0"/>
    </w:pPr>
  </w:style>
  <w:style w:type="character" w:customStyle="1" w:styleId="ListParagraphChar">
    <w:name w:val="List Paragraph Char"/>
    <w:basedOn w:val="DefaultParagraphFont"/>
    <w:link w:val="ListParagraph"/>
    <w:uiPriority w:val="34"/>
    <w:rsid w:val="00180218"/>
  </w:style>
  <w:style w:type="character" w:customStyle="1" w:styleId="TextL1Char">
    <w:name w:val="Text L1 Char"/>
    <w:basedOn w:val="ListParagraphChar"/>
    <w:link w:val="TextL1"/>
    <w:rsid w:val="00B66F59"/>
    <w:rPr>
      <w:b/>
    </w:rPr>
  </w:style>
  <w:style w:type="paragraph" w:customStyle="1" w:styleId="TextL3">
    <w:name w:val="Text L3"/>
    <w:basedOn w:val="ListParagraph"/>
    <w:link w:val="TextL3Char"/>
    <w:qFormat/>
    <w:rsid w:val="00C0037C"/>
    <w:pPr>
      <w:numPr>
        <w:numId w:val="5"/>
      </w:numPr>
      <w:spacing w:after="120"/>
    </w:pPr>
  </w:style>
  <w:style w:type="character" w:customStyle="1" w:styleId="TextL2Char">
    <w:name w:val="Text L2 Char"/>
    <w:basedOn w:val="ListParagraphChar"/>
    <w:link w:val="TextL2"/>
    <w:rsid w:val="00C0037C"/>
  </w:style>
  <w:style w:type="character" w:styleId="CommentReference">
    <w:name w:val="annotation reference"/>
    <w:basedOn w:val="DefaultParagraphFont"/>
    <w:uiPriority w:val="99"/>
    <w:semiHidden/>
    <w:unhideWhenUsed/>
    <w:rsid w:val="00F30077"/>
    <w:rPr>
      <w:sz w:val="16"/>
      <w:szCs w:val="16"/>
    </w:rPr>
  </w:style>
  <w:style w:type="character" w:customStyle="1" w:styleId="TextL3Char">
    <w:name w:val="Text L3 Char"/>
    <w:basedOn w:val="ListParagraphChar"/>
    <w:link w:val="TextL3"/>
    <w:rsid w:val="00C0037C"/>
  </w:style>
  <w:style w:type="paragraph" w:styleId="CommentText">
    <w:name w:val="annotation text"/>
    <w:basedOn w:val="Normal"/>
    <w:link w:val="CommentTextChar"/>
    <w:uiPriority w:val="99"/>
    <w:semiHidden/>
    <w:unhideWhenUsed/>
    <w:rsid w:val="00F30077"/>
    <w:rPr>
      <w:sz w:val="20"/>
      <w:szCs w:val="20"/>
    </w:rPr>
  </w:style>
  <w:style w:type="character" w:customStyle="1" w:styleId="CommentTextChar">
    <w:name w:val="Comment Text Char"/>
    <w:basedOn w:val="DefaultParagraphFont"/>
    <w:link w:val="CommentText"/>
    <w:uiPriority w:val="99"/>
    <w:semiHidden/>
    <w:rsid w:val="00F30077"/>
    <w:rPr>
      <w:sz w:val="20"/>
      <w:szCs w:val="20"/>
    </w:rPr>
  </w:style>
  <w:style w:type="paragraph" w:styleId="CommentSubject">
    <w:name w:val="annotation subject"/>
    <w:basedOn w:val="CommentText"/>
    <w:next w:val="CommentText"/>
    <w:link w:val="CommentSubjectChar"/>
    <w:uiPriority w:val="99"/>
    <w:semiHidden/>
    <w:unhideWhenUsed/>
    <w:rsid w:val="00F30077"/>
    <w:rPr>
      <w:b/>
      <w:bCs/>
    </w:rPr>
  </w:style>
  <w:style w:type="character" w:customStyle="1" w:styleId="CommentSubjectChar">
    <w:name w:val="Comment Subject Char"/>
    <w:basedOn w:val="CommentTextChar"/>
    <w:link w:val="CommentSubject"/>
    <w:uiPriority w:val="99"/>
    <w:semiHidden/>
    <w:rsid w:val="00F30077"/>
    <w:rPr>
      <w:b/>
      <w:bCs/>
      <w:sz w:val="20"/>
      <w:szCs w:val="20"/>
    </w:rPr>
  </w:style>
  <w:style w:type="paragraph" w:styleId="BalloonText">
    <w:name w:val="Balloon Text"/>
    <w:basedOn w:val="Normal"/>
    <w:link w:val="BalloonTextChar"/>
    <w:uiPriority w:val="99"/>
    <w:semiHidden/>
    <w:unhideWhenUsed/>
    <w:rsid w:val="00F30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77"/>
    <w:rPr>
      <w:rFonts w:ascii="Segoe UI" w:hAnsi="Segoe UI" w:cs="Segoe UI"/>
      <w:sz w:val="18"/>
      <w:szCs w:val="18"/>
    </w:rPr>
  </w:style>
  <w:style w:type="character" w:styleId="Hyperlink">
    <w:name w:val="Hyperlink"/>
    <w:basedOn w:val="DefaultParagraphFont"/>
    <w:uiPriority w:val="99"/>
    <w:unhideWhenUsed/>
    <w:rsid w:val="00C82F69"/>
    <w:rPr>
      <w:color w:val="0563C1" w:themeColor="hyperlink"/>
      <w:u w:val="single"/>
    </w:rPr>
  </w:style>
  <w:style w:type="character" w:styleId="FollowedHyperlink">
    <w:name w:val="FollowedHyperlink"/>
    <w:basedOn w:val="DefaultParagraphFont"/>
    <w:uiPriority w:val="99"/>
    <w:semiHidden/>
    <w:unhideWhenUsed/>
    <w:rsid w:val="00C82F69"/>
    <w:rPr>
      <w:color w:val="954F72" w:themeColor="followedHyperlink"/>
      <w:u w:val="single"/>
    </w:rPr>
  </w:style>
  <w:style w:type="character" w:customStyle="1" w:styleId="Heading9Char">
    <w:name w:val="Heading 9 Char"/>
    <w:basedOn w:val="DefaultParagraphFont"/>
    <w:link w:val="Heading9"/>
    <w:uiPriority w:val="9"/>
    <w:semiHidden/>
    <w:rsid w:val="00D95A67"/>
    <w:rPr>
      <w:rFonts w:asciiTheme="majorHAnsi" w:eastAsiaTheme="majorEastAsia" w:hAnsiTheme="majorHAnsi" w:cstheme="majorBidi"/>
      <w:i/>
      <w:iCs/>
      <w:color w:val="272727" w:themeColor="text1" w:themeTint="D8"/>
      <w:sz w:val="21"/>
      <w:szCs w:val="21"/>
    </w:rPr>
  </w:style>
  <w:style w:type="paragraph" w:customStyle="1" w:styleId="Level5">
    <w:name w:val="Level 5"/>
    <w:rsid w:val="00445373"/>
    <w:pPr>
      <w:numPr>
        <w:ilvl w:val="4"/>
        <w:numId w:val="1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445373"/>
    <w:pPr>
      <w:numPr>
        <w:ilvl w:val="5"/>
        <w:numId w:val="1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rsid w:val="00445373"/>
    <w:pPr>
      <w:numPr>
        <w:numId w:val="11"/>
      </w:numPr>
      <w:spacing w:before="240" w:after="0" w:line="240" w:lineRule="auto"/>
      <w:outlineLvl w:val="0"/>
    </w:pPr>
    <w:rPr>
      <w:rFonts w:ascii="Times New Roman" w:eastAsia="Times New Roman" w:hAnsi="Times New Roman" w:cs="Times New Roman"/>
      <w:sz w:val="24"/>
      <w:szCs w:val="20"/>
    </w:rPr>
  </w:style>
  <w:style w:type="paragraph" w:customStyle="1" w:styleId="Level3">
    <w:name w:val="Level 3"/>
    <w:rsid w:val="00445373"/>
    <w:pPr>
      <w:numPr>
        <w:ilvl w:val="2"/>
        <w:numId w:val="11"/>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445373"/>
    <w:pPr>
      <w:numPr>
        <w:ilvl w:val="3"/>
      </w:numPr>
      <w:tabs>
        <w:tab w:val="left" w:pos="3600"/>
      </w:tabs>
    </w:pPr>
  </w:style>
  <w:style w:type="paragraph" w:customStyle="1" w:styleId="QuickA">
    <w:name w:val="Quick A."/>
    <w:basedOn w:val="Normal"/>
    <w:rsid w:val="00445373"/>
    <w:pPr>
      <w:widowControl w:val="0"/>
      <w:autoSpaceDE w:val="0"/>
      <w:autoSpaceDN w:val="0"/>
      <w:adjustRightInd w:val="0"/>
    </w:pPr>
    <w:rPr>
      <w:rFonts w:ascii="Times New Roman" w:eastAsia="Times New Roman" w:hAnsi="Times New Roman" w:cs="Times New Roman"/>
      <w:sz w:val="20"/>
      <w:szCs w:val="24"/>
    </w:rPr>
  </w:style>
  <w:style w:type="character" w:styleId="FootnoteReference">
    <w:name w:val="footnote reference"/>
    <w:semiHidden/>
    <w:rsid w:val="003B666C"/>
  </w:style>
  <w:style w:type="paragraph" w:customStyle="1" w:styleId="Level2">
    <w:name w:val="Level 2"/>
    <w:rsid w:val="009A0EB9"/>
    <w:pPr>
      <w:tabs>
        <w:tab w:val="left" w:pos="1584"/>
        <w:tab w:val="num" w:pos="1800"/>
      </w:tabs>
      <w:spacing w:before="240" w:after="0" w:line="240" w:lineRule="auto"/>
      <w:ind w:left="1800" w:hanging="1080"/>
      <w:outlineLvl w:val="1"/>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975">
      <w:bodyDiv w:val="1"/>
      <w:marLeft w:val="0"/>
      <w:marRight w:val="0"/>
      <w:marTop w:val="0"/>
      <w:marBottom w:val="0"/>
      <w:divBdr>
        <w:top w:val="none" w:sz="0" w:space="0" w:color="auto"/>
        <w:left w:val="none" w:sz="0" w:space="0" w:color="auto"/>
        <w:bottom w:val="none" w:sz="0" w:space="0" w:color="auto"/>
        <w:right w:val="none" w:sz="0" w:space="0" w:color="auto"/>
      </w:divBdr>
    </w:div>
    <w:div w:id="293676126">
      <w:bodyDiv w:val="1"/>
      <w:marLeft w:val="0"/>
      <w:marRight w:val="0"/>
      <w:marTop w:val="0"/>
      <w:marBottom w:val="0"/>
      <w:divBdr>
        <w:top w:val="none" w:sz="0" w:space="0" w:color="auto"/>
        <w:left w:val="none" w:sz="0" w:space="0" w:color="auto"/>
        <w:bottom w:val="none" w:sz="0" w:space="0" w:color="auto"/>
        <w:right w:val="none" w:sz="0" w:space="0" w:color="auto"/>
      </w:divBdr>
    </w:div>
    <w:div w:id="419569677">
      <w:bodyDiv w:val="1"/>
      <w:marLeft w:val="0"/>
      <w:marRight w:val="0"/>
      <w:marTop w:val="0"/>
      <w:marBottom w:val="0"/>
      <w:divBdr>
        <w:top w:val="none" w:sz="0" w:space="0" w:color="auto"/>
        <w:left w:val="none" w:sz="0" w:space="0" w:color="auto"/>
        <w:bottom w:val="none" w:sz="0" w:space="0" w:color="auto"/>
        <w:right w:val="none" w:sz="0" w:space="0" w:color="auto"/>
      </w:divBdr>
    </w:div>
    <w:div w:id="607347799">
      <w:bodyDiv w:val="1"/>
      <w:marLeft w:val="0"/>
      <w:marRight w:val="0"/>
      <w:marTop w:val="0"/>
      <w:marBottom w:val="0"/>
      <w:divBdr>
        <w:top w:val="none" w:sz="0" w:space="0" w:color="auto"/>
        <w:left w:val="none" w:sz="0" w:space="0" w:color="auto"/>
        <w:bottom w:val="none" w:sz="0" w:space="0" w:color="auto"/>
        <w:right w:val="none" w:sz="0" w:space="0" w:color="auto"/>
      </w:divBdr>
    </w:div>
    <w:div w:id="802187931">
      <w:bodyDiv w:val="1"/>
      <w:marLeft w:val="0"/>
      <w:marRight w:val="0"/>
      <w:marTop w:val="0"/>
      <w:marBottom w:val="0"/>
      <w:divBdr>
        <w:top w:val="none" w:sz="0" w:space="0" w:color="auto"/>
        <w:left w:val="none" w:sz="0" w:space="0" w:color="auto"/>
        <w:bottom w:val="none" w:sz="0" w:space="0" w:color="auto"/>
        <w:right w:val="none" w:sz="0" w:space="0" w:color="auto"/>
      </w:divBdr>
    </w:div>
    <w:div w:id="847910339">
      <w:bodyDiv w:val="1"/>
      <w:marLeft w:val="0"/>
      <w:marRight w:val="0"/>
      <w:marTop w:val="0"/>
      <w:marBottom w:val="0"/>
      <w:divBdr>
        <w:top w:val="none" w:sz="0" w:space="0" w:color="auto"/>
        <w:left w:val="none" w:sz="0" w:space="0" w:color="auto"/>
        <w:bottom w:val="none" w:sz="0" w:space="0" w:color="auto"/>
        <w:right w:val="none" w:sz="0" w:space="0" w:color="auto"/>
      </w:divBdr>
    </w:div>
    <w:div w:id="950089825">
      <w:bodyDiv w:val="1"/>
      <w:marLeft w:val="0"/>
      <w:marRight w:val="0"/>
      <w:marTop w:val="0"/>
      <w:marBottom w:val="0"/>
      <w:divBdr>
        <w:top w:val="none" w:sz="0" w:space="0" w:color="auto"/>
        <w:left w:val="none" w:sz="0" w:space="0" w:color="auto"/>
        <w:bottom w:val="none" w:sz="0" w:space="0" w:color="auto"/>
        <w:right w:val="none" w:sz="0" w:space="0" w:color="auto"/>
      </w:divBdr>
    </w:div>
    <w:div w:id="1225339760">
      <w:bodyDiv w:val="1"/>
      <w:marLeft w:val="0"/>
      <w:marRight w:val="0"/>
      <w:marTop w:val="0"/>
      <w:marBottom w:val="0"/>
      <w:divBdr>
        <w:top w:val="none" w:sz="0" w:space="0" w:color="auto"/>
        <w:left w:val="none" w:sz="0" w:space="0" w:color="auto"/>
        <w:bottom w:val="none" w:sz="0" w:space="0" w:color="auto"/>
        <w:right w:val="none" w:sz="0" w:space="0" w:color="auto"/>
      </w:divBdr>
    </w:div>
    <w:div w:id="1229421323">
      <w:bodyDiv w:val="1"/>
      <w:marLeft w:val="0"/>
      <w:marRight w:val="0"/>
      <w:marTop w:val="0"/>
      <w:marBottom w:val="0"/>
      <w:divBdr>
        <w:top w:val="none" w:sz="0" w:space="0" w:color="auto"/>
        <w:left w:val="none" w:sz="0" w:space="0" w:color="auto"/>
        <w:bottom w:val="none" w:sz="0" w:space="0" w:color="auto"/>
        <w:right w:val="none" w:sz="0" w:space="0" w:color="auto"/>
      </w:divBdr>
    </w:div>
    <w:div w:id="1239561988">
      <w:bodyDiv w:val="1"/>
      <w:marLeft w:val="0"/>
      <w:marRight w:val="0"/>
      <w:marTop w:val="0"/>
      <w:marBottom w:val="0"/>
      <w:divBdr>
        <w:top w:val="none" w:sz="0" w:space="0" w:color="auto"/>
        <w:left w:val="none" w:sz="0" w:space="0" w:color="auto"/>
        <w:bottom w:val="none" w:sz="0" w:space="0" w:color="auto"/>
        <w:right w:val="none" w:sz="0" w:space="0" w:color="auto"/>
      </w:divBdr>
    </w:div>
    <w:div w:id="19029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magic.ms.gov/sap/bc/webdynpro/sapsrm/wda_e_suco_sreg?sap-client=1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transparency.mississippi.gov" TargetMode="External"/><Relationship Id="rId10" Type="http://schemas.openxmlformats.org/officeDocument/2006/relationships/hyperlink" Target="mailto:mash@dfa.ms.gov"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B9D9-6045-433A-8D95-61A37108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12837</Words>
  <Characters>73175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85841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Williford</dc:creator>
  <cp:lastModifiedBy>Jordan Barber, CMPA</cp:lastModifiedBy>
  <cp:revision>11</cp:revision>
  <cp:lastPrinted>2018-10-04T15:12:00Z</cp:lastPrinted>
  <dcterms:created xsi:type="dcterms:W3CDTF">2018-10-03T20:06:00Z</dcterms:created>
  <dcterms:modified xsi:type="dcterms:W3CDTF">2018-10-04T15:14:00Z</dcterms:modified>
</cp:coreProperties>
</file>