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2FB8" w14:textId="77777777" w:rsidR="00DA0678" w:rsidRDefault="00DA0678" w:rsidP="002D477B">
      <w:pPr>
        <w:spacing w:after="160" w:line="259" w:lineRule="auto"/>
        <w:rPr>
          <w:rFonts w:ascii="Arial" w:eastAsia="Calibri" w:hAnsi="Arial" w:cs="Arial"/>
          <w:sz w:val="96"/>
          <w:szCs w:val="96"/>
          <w:lang w:eastAsia="en-US"/>
        </w:rPr>
      </w:pPr>
    </w:p>
    <w:p w14:paraId="07D0302C" w14:textId="6B9100ED" w:rsidR="00DA0678" w:rsidRPr="00DA0678" w:rsidRDefault="00DA0678" w:rsidP="00DA0678">
      <w:pPr>
        <w:spacing w:after="160" w:line="259" w:lineRule="auto"/>
        <w:jc w:val="center"/>
        <w:rPr>
          <w:rFonts w:ascii="Arial" w:eastAsia="Calibri" w:hAnsi="Arial" w:cs="Arial"/>
          <w:sz w:val="96"/>
          <w:szCs w:val="96"/>
          <w:lang w:eastAsia="en-US"/>
        </w:rPr>
      </w:pPr>
      <w:r w:rsidRPr="00DA0678">
        <w:rPr>
          <w:rFonts w:ascii="Arial" w:eastAsia="Calibri" w:hAnsi="Arial" w:cs="Arial"/>
          <w:sz w:val="96"/>
          <w:szCs w:val="96"/>
          <w:lang w:eastAsia="en-US"/>
        </w:rPr>
        <w:t xml:space="preserve">Attachment </w:t>
      </w:r>
      <w:r>
        <w:rPr>
          <w:rFonts w:ascii="Arial" w:eastAsia="Calibri" w:hAnsi="Arial" w:cs="Arial"/>
          <w:sz w:val="96"/>
          <w:szCs w:val="96"/>
          <w:lang w:eastAsia="en-US"/>
        </w:rPr>
        <w:t>C</w:t>
      </w:r>
    </w:p>
    <w:p w14:paraId="58D4C606" w14:textId="77777777" w:rsidR="00DA0678" w:rsidRPr="00DA0678" w:rsidRDefault="00DA0678" w:rsidP="00DA0678">
      <w:pPr>
        <w:spacing w:after="160" w:line="259" w:lineRule="auto"/>
        <w:jc w:val="center"/>
        <w:rPr>
          <w:rFonts w:ascii="Arial" w:eastAsia="Calibri" w:hAnsi="Arial" w:cs="Arial"/>
          <w:sz w:val="72"/>
          <w:szCs w:val="72"/>
          <w:lang w:eastAsia="en-US"/>
        </w:rPr>
      </w:pPr>
      <w:r w:rsidRPr="00DA0678">
        <w:rPr>
          <w:rFonts w:ascii="Arial" w:eastAsia="Calibri" w:hAnsi="Arial" w:cs="Arial"/>
          <w:sz w:val="72"/>
          <w:szCs w:val="72"/>
          <w:lang w:eastAsia="en-US"/>
        </w:rPr>
        <w:t>to</w:t>
      </w:r>
    </w:p>
    <w:p w14:paraId="2C824D02" w14:textId="621D13AC" w:rsidR="00D22684" w:rsidRPr="00D22684" w:rsidRDefault="00DA0678" w:rsidP="00D22684">
      <w:pPr>
        <w:spacing w:after="120" w:line="259" w:lineRule="auto"/>
        <w:jc w:val="center"/>
        <w:rPr>
          <w:rFonts w:ascii="Arial" w:eastAsia="Calibri" w:hAnsi="Arial" w:cs="Arial"/>
          <w:sz w:val="72"/>
          <w:szCs w:val="72"/>
          <w:lang w:eastAsia="en-US"/>
        </w:rPr>
      </w:pPr>
      <w:r w:rsidRPr="00DA0678">
        <w:rPr>
          <w:rFonts w:ascii="Arial" w:eastAsia="Calibri" w:hAnsi="Arial" w:cs="Arial"/>
          <w:sz w:val="72"/>
          <w:szCs w:val="72"/>
          <w:lang w:eastAsia="en-US"/>
        </w:rPr>
        <w:t xml:space="preserve">RFP </w:t>
      </w:r>
      <w:r w:rsidR="00140640">
        <w:rPr>
          <w:rFonts w:ascii="Arial" w:eastAsia="Calibri" w:hAnsi="Arial" w:cs="Arial"/>
          <w:sz w:val="72"/>
          <w:szCs w:val="72"/>
          <w:lang w:eastAsia="en-US"/>
        </w:rPr>
        <w:t xml:space="preserve">No. </w:t>
      </w:r>
      <w:r w:rsidRPr="00DA0678">
        <w:rPr>
          <w:rFonts w:ascii="Arial" w:eastAsia="Calibri" w:hAnsi="Arial" w:cs="Arial"/>
          <w:sz w:val="72"/>
          <w:szCs w:val="72"/>
          <w:lang w:eastAsia="en-US"/>
        </w:rPr>
        <w:t>4</w:t>
      </w:r>
      <w:r w:rsidR="001F3946">
        <w:rPr>
          <w:rFonts w:ascii="Arial" w:eastAsia="Calibri" w:hAnsi="Arial" w:cs="Arial"/>
          <w:sz w:val="72"/>
          <w:szCs w:val="72"/>
          <w:lang w:eastAsia="en-US"/>
        </w:rPr>
        <w:t>666</w:t>
      </w:r>
    </w:p>
    <w:p w14:paraId="1DD0FF20" w14:textId="77777777" w:rsidR="00D22684" w:rsidRPr="00DA0678" w:rsidRDefault="00D22684" w:rsidP="00D22684">
      <w:pPr>
        <w:spacing w:after="160" w:line="259" w:lineRule="auto"/>
        <w:jc w:val="center"/>
        <w:rPr>
          <w:rFonts w:ascii="Arial" w:eastAsia="Calibri" w:hAnsi="Arial" w:cs="Arial"/>
          <w:sz w:val="16"/>
          <w:szCs w:val="96"/>
          <w:lang w:eastAsia="en-US"/>
        </w:rPr>
      </w:pPr>
    </w:p>
    <w:p w14:paraId="75D82758" w14:textId="1DD4AE6D" w:rsidR="00D22684" w:rsidRPr="00DA0678" w:rsidRDefault="00D22684" w:rsidP="00D22684">
      <w:pPr>
        <w:spacing w:after="0" w:line="259" w:lineRule="auto"/>
        <w:jc w:val="center"/>
        <w:rPr>
          <w:rFonts w:ascii="Arial" w:eastAsia="Calibri" w:hAnsi="Arial" w:cs="Arial"/>
          <w:sz w:val="52"/>
          <w:szCs w:val="96"/>
          <w:lang w:eastAsia="en-US"/>
        </w:rPr>
      </w:pPr>
      <w:r w:rsidRPr="00DA0678">
        <w:rPr>
          <w:rFonts w:ascii="Arial" w:eastAsia="Calibri" w:hAnsi="Arial" w:cs="Arial"/>
          <w:sz w:val="52"/>
          <w:szCs w:val="96"/>
          <w:lang w:eastAsia="en-US"/>
        </w:rPr>
        <w:t>Mississippi Department</w:t>
      </w:r>
      <w:r w:rsidR="001F3946">
        <w:rPr>
          <w:rFonts w:ascii="Arial" w:eastAsia="Calibri" w:hAnsi="Arial" w:cs="Arial"/>
          <w:sz w:val="52"/>
          <w:szCs w:val="96"/>
          <w:lang w:eastAsia="en-US"/>
        </w:rPr>
        <w:t xml:space="preserve"> of Information Technology Services</w:t>
      </w:r>
    </w:p>
    <w:p w14:paraId="006A4812" w14:textId="77777777" w:rsidR="00D22684" w:rsidRPr="00DA0678" w:rsidRDefault="00D22684" w:rsidP="00D22684">
      <w:pPr>
        <w:spacing w:after="0" w:line="259" w:lineRule="auto"/>
        <w:jc w:val="center"/>
        <w:rPr>
          <w:rFonts w:ascii="Arial" w:eastAsia="Calibri" w:hAnsi="Arial" w:cs="Arial"/>
          <w:sz w:val="22"/>
          <w:szCs w:val="32"/>
          <w:lang w:eastAsia="en-US"/>
        </w:rPr>
      </w:pPr>
    </w:p>
    <w:p w14:paraId="085B79A3" w14:textId="32DAB105" w:rsidR="00D22684" w:rsidRDefault="00CB4675" w:rsidP="00D22684">
      <w:pPr>
        <w:spacing w:after="0" w:line="259" w:lineRule="auto"/>
        <w:jc w:val="center"/>
        <w:rPr>
          <w:rFonts w:ascii="Arial" w:eastAsia="Calibri" w:hAnsi="Arial" w:cs="Arial"/>
          <w:sz w:val="52"/>
          <w:szCs w:val="96"/>
          <w:lang w:eastAsia="en-US"/>
        </w:rPr>
      </w:pPr>
      <w:r>
        <w:rPr>
          <w:rFonts w:ascii="Arial" w:eastAsia="Calibri" w:hAnsi="Arial" w:cs="Arial"/>
          <w:sz w:val="52"/>
          <w:szCs w:val="96"/>
          <w:lang w:eastAsia="en-US"/>
        </w:rPr>
        <w:t>Avaya Products, Services, and CCaaS</w:t>
      </w:r>
    </w:p>
    <w:p w14:paraId="5986D643" w14:textId="77777777" w:rsidR="00D22684" w:rsidRPr="00DA0678" w:rsidRDefault="00D22684" w:rsidP="00DA0678">
      <w:pPr>
        <w:spacing w:after="120" w:line="259" w:lineRule="auto"/>
        <w:jc w:val="center"/>
        <w:rPr>
          <w:rFonts w:ascii="Arial" w:eastAsia="Calibri" w:hAnsi="Arial" w:cs="Arial"/>
          <w:sz w:val="72"/>
          <w:szCs w:val="72"/>
          <w:lang w:eastAsia="en-US"/>
        </w:rPr>
      </w:pPr>
    </w:p>
    <w:p w14:paraId="0B142D1C" w14:textId="7107228A" w:rsidR="00DA0678" w:rsidRDefault="00C856FE" w:rsidP="00DA0678">
      <w:pPr>
        <w:spacing w:after="120" w:line="259" w:lineRule="auto"/>
        <w:jc w:val="center"/>
        <w:rPr>
          <w:rFonts w:ascii="Arial" w:eastAsia="Calibri" w:hAnsi="Arial" w:cs="Arial"/>
          <w:sz w:val="80"/>
          <w:szCs w:val="80"/>
          <w:lang w:eastAsia="en-US"/>
        </w:rPr>
      </w:pPr>
      <w:proofErr w:type="gramStart"/>
      <w:r>
        <w:rPr>
          <w:rFonts w:ascii="Arial" w:eastAsia="Calibri" w:hAnsi="Arial" w:cs="Arial"/>
          <w:sz w:val="80"/>
          <w:szCs w:val="80"/>
          <w:lang w:eastAsia="en-US"/>
        </w:rPr>
        <w:t>Interfacing with</w:t>
      </w:r>
      <w:proofErr w:type="gramEnd"/>
      <w:r>
        <w:rPr>
          <w:rFonts w:ascii="Arial" w:eastAsia="Calibri" w:hAnsi="Arial" w:cs="Arial"/>
          <w:sz w:val="80"/>
          <w:szCs w:val="80"/>
          <w:lang w:eastAsia="en-US"/>
        </w:rPr>
        <w:t xml:space="preserve"> Tyler Technologies</w:t>
      </w:r>
    </w:p>
    <w:p w14:paraId="7CA23542" w14:textId="77777777" w:rsidR="00D22684" w:rsidRDefault="00D22684" w:rsidP="00DA0678">
      <w:pPr>
        <w:spacing w:after="0" w:line="259" w:lineRule="auto"/>
        <w:jc w:val="center"/>
        <w:rPr>
          <w:rFonts w:ascii="Arial" w:eastAsia="Calibri" w:hAnsi="Arial" w:cs="Arial"/>
          <w:sz w:val="52"/>
          <w:szCs w:val="96"/>
          <w:lang w:eastAsia="en-US"/>
        </w:rPr>
      </w:pPr>
    </w:p>
    <w:p w14:paraId="05A6E0BF" w14:textId="7A918EB0" w:rsidR="00D22684" w:rsidRPr="00D22684" w:rsidRDefault="00D22684" w:rsidP="00D22684">
      <w:pPr>
        <w:spacing w:before="240" w:after="240"/>
        <w:jc w:val="center"/>
        <w:rPr>
          <w:rFonts w:ascii="Arial" w:eastAsiaTheme="minorHAnsi" w:hAnsi="Arial" w:cs="Arial"/>
          <w:sz w:val="44"/>
          <w:szCs w:val="96"/>
          <w:lang w:eastAsia="en-US"/>
        </w:rPr>
      </w:pPr>
      <w:r w:rsidRPr="00D22684">
        <w:rPr>
          <w:rFonts w:ascii="Arial" w:eastAsiaTheme="minorHAnsi" w:hAnsi="Arial" w:cs="Arial"/>
          <w:sz w:val="44"/>
          <w:szCs w:val="96"/>
          <w:lang w:eastAsia="en-US"/>
        </w:rPr>
        <w:t>ITS Project No. 4</w:t>
      </w:r>
      <w:r w:rsidR="005A0EA2">
        <w:rPr>
          <w:rFonts w:ascii="Arial" w:eastAsiaTheme="minorHAnsi" w:hAnsi="Arial" w:cs="Arial"/>
          <w:sz w:val="44"/>
          <w:szCs w:val="96"/>
          <w:lang w:eastAsia="en-US"/>
        </w:rPr>
        <w:t>8690</w:t>
      </w:r>
    </w:p>
    <w:p w14:paraId="1424431A" w14:textId="50CB9251" w:rsidR="001E587C" w:rsidRDefault="001E587C" w:rsidP="001E587C">
      <w:pPr>
        <w:jc w:val="center"/>
        <w:rPr>
          <w:rFonts w:ascii="Times New Roman" w:hAnsi="Times New Roman" w:cs="Times New Roman"/>
          <w:b/>
          <w:sz w:val="22"/>
          <w:szCs w:val="22"/>
        </w:rPr>
      </w:pPr>
    </w:p>
    <w:p w14:paraId="6456117D" w14:textId="77777777" w:rsidR="00DA0678" w:rsidRDefault="00DA0678" w:rsidP="001E587C">
      <w:pPr>
        <w:jc w:val="center"/>
        <w:rPr>
          <w:rFonts w:ascii="Times New Roman" w:hAnsi="Times New Roman" w:cs="Times New Roman"/>
          <w:b/>
          <w:sz w:val="22"/>
          <w:szCs w:val="22"/>
        </w:rPr>
      </w:pPr>
    </w:p>
    <w:p w14:paraId="056E2773" w14:textId="77777777" w:rsidR="002D477B" w:rsidRDefault="002D477B" w:rsidP="001E587C">
      <w:pPr>
        <w:jc w:val="center"/>
        <w:rPr>
          <w:rFonts w:ascii="Times New Roman" w:hAnsi="Times New Roman" w:cs="Times New Roman"/>
          <w:b/>
          <w:sz w:val="22"/>
          <w:szCs w:val="22"/>
        </w:rPr>
      </w:pPr>
    </w:p>
    <w:p w14:paraId="128F6863" w14:textId="77777777" w:rsidR="00D22684" w:rsidRDefault="00D22684" w:rsidP="00DA0678">
      <w:pPr>
        <w:jc w:val="both"/>
        <w:rPr>
          <w:rFonts w:ascii="Times New Roman" w:hAnsi="Times New Roman" w:cs="Times New Roman"/>
          <w:b/>
          <w:sz w:val="22"/>
          <w:szCs w:val="22"/>
        </w:rPr>
      </w:pPr>
    </w:p>
    <w:p w14:paraId="74DD91F0" w14:textId="40E0C819" w:rsidR="0067645A" w:rsidRDefault="00650274" w:rsidP="00C9766B">
      <w:pPr>
        <w:jc w:val="both"/>
        <w:rPr>
          <w:rFonts w:ascii="Times New Roman" w:hAnsi="Times New Roman" w:cs="Times New Roman"/>
          <w:sz w:val="22"/>
          <w:szCs w:val="22"/>
        </w:rPr>
      </w:pPr>
      <w:r>
        <w:rPr>
          <w:rFonts w:ascii="Arial" w:hAnsi="Arial" w:cs="Arial"/>
          <w:sz w:val="22"/>
          <w:szCs w:val="22"/>
        </w:rPr>
        <w:t>Tyler Technologies</w:t>
      </w:r>
      <w:r w:rsidR="0067645A">
        <w:rPr>
          <w:rFonts w:ascii="Arial" w:hAnsi="Arial" w:cs="Arial"/>
          <w:sz w:val="22"/>
          <w:szCs w:val="22"/>
        </w:rPr>
        <w:t xml:space="preserve"> d/b/a Tyler Mississippi </w:t>
      </w:r>
      <w:r>
        <w:rPr>
          <w:rFonts w:ascii="Arial" w:hAnsi="Arial" w:cs="Arial"/>
          <w:sz w:val="22"/>
          <w:szCs w:val="22"/>
        </w:rPr>
        <w:t>(</w:t>
      </w:r>
      <w:r w:rsidR="0067645A">
        <w:rPr>
          <w:rFonts w:ascii="Arial" w:hAnsi="Arial" w:cs="Arial"/>
          <w:sz w:val="22"/>
          <w:szCs w:val="22"/>
        </w:rPr>
        <w:t xml:space="preserve">previously </w:t>
      </w:r>
      <w:r>
        <w:rPr>
          <w:rFonts w:ascii="Arial" w:hAnsi="Arial" w:cs="Arial"/>
          <w:sz w:val="22"/>
          <w:szCs w:val="22"/>
        </w:rPr>
        <w:t xml:space="preserve">Mississippi Interactive and </w:t>
      </w:r>
      <w:r w:rsidR="0067645A">
        <w:rPr>
          <w:rFonts w:ascii="Arial" w:hAnsi="Arial" w:cs="Arial"/>
          <w:sz w:val="22"/>
          <w:szCs w:val="22"/>
        </w:rPr>
        <w:t>NIC Mississippi</w:t>
      </w:r>
      <w:r>
        <w:rPr>
          <w:rFonts w:ascii="Arial" w:hAnsi="Arial" w:cs="Arial"/>
          <w:sz w:val="22"/>
          <w:szCs w:val="22"/>
        </w:rPr>
        <w:t>)</w:t>
      </w:r>
      <w:r w:rsidR="0067645A">
        <w:rPr>
          <w:rFonts w:ascii="Arial" w:hAnsi="Arial" w:cs="Arial"/>
          <w:sz w:val="22"/>
          <w:szCs w:val="22"/>
        </w:rPr>
        <w:t xml:space="preserve"> will serve as the single point of entry for all e-commerce and card present (POS) transactions. Awarded vendor must use Mississippi’s official payment processor, Tyler MS, for any of the following services where payment is required</w:t>
      </w:r>
      <w:r w:rsidR="0067645A">
        <w:rPr>
          <w:rFonts w:ascii="Times New Roman" w:hAnsi="Times New Roman" w:cs="Times New Roman"/>
          <w:sz w:val="22"/>
          <w:szCs w:val="22"/>
        </w:rPr>
        <w:t xml:space="preserve">. </w:t>
      </w:r>
    </w:p>
    <w:p w14:paraId="73348BBC" w14:textId="77777777" w:rsidR="0067645A" w:rsidRDefault="0067645A" w:rsidP="00C9766B">
      <w:pPr>
        <w:pStyle w:val="Default"/>
        <w:numPr>
          <w:ilvl w:val="0"/>
          <w:numId w:val="33"/>
        </w:numPr>
        <w:jc w:val="both"/>
        <w:rPr>
          <w:rFonts w:ascii="Arial" w:hAnsi="Arial" w:cs="Arial"/>
          <w:color w:val="000000" w:themeColor="text1"/>
          <w:sz w:val="22"/>
          <w:szCs w:val="22"/>
        </w:rPr>
      </w:pPr>
      <w:r>
        <w:rPr>
          <w:rFonts w:ascii="Arial" w:hAnsi="Arial" w:cs="Arial"/>
          <w:color w:val="000000" w:themeColor="text1"/>
          <w:sz w:val="22"/>
          <w:szCs w:val="22"/>
        </w:rPr>
        <w:t>TPE Payment Engine gateway </w:t>
      </w:r>
    </w:p>
    <w:p w14:paraId="41E1ACB3" w14:textId="77777777" w:rsidR="0067645A" w:rsidRDefault="0067645A" w:rsidP="00C9766B">
      <w:pPr>
        <w:pStyle w:val="Default"/>
        <w:numPr>
          <w:ilvl w:val="0"/>
          <w:numId w:val="33"/>
        </w:numPr>
        <w:jc w:val="both"/>
        <w:rPr>
          <w:rFonts w:ascii="Arial" w:hAnsi="Arial" w:cs="Arial"/>
          <w:color w:val="000000" w:themeColor="text1"/>
          <w:sz w:val="22"/>
          <w:szCs w:val="22"/>
        </w:rPr>
      </w:pPr>
      <w:r>
        <w:rPr>
          <w:rFonts w:ascii="Arial" w:hAnsi="Arial" w:cs="Arial"/>
          <w:color w:val="000000" w:themeColor="text1"/>
          <w:sz w:val="22"/>
          <w:szCs w:val="22"/>
        </w:rPr>
        <w:t>Common Checkout Page (CCP) module for online web and mobile payment pages </w:t>
      </w:r>
    </w:p>
    <w:p w14:paraId="09AB1D2E" w14:textId="77777777" w:rsidR="0067645A" w:rsidRDefault="0067645A" w:rsidP="00C9766B">
      <w:pPr>
        <w:pStyle w:val="Default"/>
        <w:numPr>
          <w:ilvl w:val="0"/>
          <w:numId w:val="33"/>
        </w:numPr>
        <w:jc w:val="both"/>
        <w:rPr>
          <w:rFonts w:ascii="Arial" w:hAnsi="Arial" w:cs="Arial"/>
          <w:color w:val="000000" w:themeColor="text1"/>
          <w:sz w:val="22"/>
          <w:szCs w:val="22"/>
        </w:rPr>
      </w:pPr>
      <w:r>
        <w:rPr>
          <w:rFonts w:ascii="Arial" w:hAnsi="Arial" w:cs="Arial"/>
          <w:color w:val="000000" w:themeColor="text1"/>
          <w:sz w:val="22"/>
          <w:szCs w:val="22"/>
        </w:rPr>
        <w:t>Over the Counter (OTC) module for Point-of-Sale transactions </w:t>
      </w:r>
    </w:p>
    <w:p w14:paraId="048B3280" w14:textId="77777777" w:rsidR="0067645A" w:rsidRDefault="0067645A" w:rsidP="00C9766B">
      <w:pPr>
        <w:pStyle w:val="Default"/>
        <w:numPr>
          <w:ilvl w:val="0"/>
          <w:numId w:val="33"/>
        </w:numPr>
        <w:jc w:val="both"/>
        <w:rPr>
          <w:rFonts w:ascii="Arial" w:hAnsi="Arial" w:cs="Arial"/>
          <w:color w:val="000000" w:themeColor="text1"/>
          <w:sz w:val="22"/>
          <w:szCs w:val="22"/>
        </w:rPr>
      </w:pPr>
      <w:r>
        <w:rPr>
          <w:rFonts w:ascii="Arial" w:hAnsi="Arial" w:cs="Arial"/>
          <w:color w:val="000000" w:themeColor="text1"/>
          <w:sz w:val="22"/>
          <w:szCs w:val="22"/>
        </w:rPr>
        <w:t>Secure Wallet module to support scheduled and recurring payments </w:t>
      </w:r>
    </w:p>
    <w:p w14:paraId="6B1D023C" w14:textId="77777777" w:rsidR="0067645A" w:rsidRDefault="0067645A" w:rsidP="00C9766B">
      <w:pPr>
        <w:pStyle w:val="Default"/>
        <w:numPr>
          <w:ilvl w:val="0"/>
          <w:numId w:val="33"/>
        </w:numPr>
        <w:jc w:val="both"/>
        <w:rPr>
          <w:rFonts w:ascii="Arial" w:hAnsi="Arial" w:cs="Arial"/>
          <w:color w:val="000000" w:themeColor="text1"/>
          <w:sz w:val="22"/>
          <w:szCs w:val="22"/>
        </w:rPr>
      </w:pPr>
      <w:r>
        <w:rPr>
          <w:rFonts w:ascii="Arial" w:hAnsi="Arial" w:cs="Arial"/>
          <w:color w:val="000000" w:themeColor="text1"/>
          <w:sz w:val="22"/>
          <w:szCs w:val="22"/>
        </w:rPr>
        <w:t>Devices Client module for managing the secure communications between credit card terminals and point-of-sale solutions</w:t>
      </w:r>
    </w:p>
    <w:p w14:paraId="52EB984E" w14:textId="77777777" w:rsidR="0067645A" w:rsidRDefault="0067645A" w:rsidP="00C9766B">
      <w:pPr>
        <w:pStyle w:val="Default"/>
        <w:jc w:val="both"/>
        <w:rPr>
          <w:sz w:val="22"/>
          <w:szCs w:val="22"/>
        </w:rPr>
      </w:pPr>
    </w:p>
    <w:p w14:paraId="333EC061" w14:textId="77777777" w:rsidR="0067645A" w:rsidRDefault="0067645A" w:rsidP="00C9766B">
      <w:pPr>
        <w:pStyle w:val="Default"/>
        <w:jc w:val="both"/>
        <w:rPr>
          <w:rFonts w:ascii="Arial" w:hAnsi="Arial" w:cs="Arial"/>
          <w:sz w:val="22"/>
          <w:szCs w:val="22"/>
        </w:rPr>
      </w:pPr>
      <w:r>
        <w:rPr>
          <w:rFonts w:ascii="Arial" w:hAnsi="Arial" w:cs="Arial"/>
          <w:sz w:val="22"/>
          <w:szCs w:val="22"/>
        </w:rPr>
        <w:t xml:space="preserve">The following payment methods accepted through Tyler MS include: Visa, MasterCard, American Express, Discover, electronic check and subscription (monthly billed). Tyler MS requires that prior to sharing any integration guides or materials the vendor </w:t>
      </w:r>
      <w:proofErr w:type="gramStart"/>
      <w:r>
        <w:rPr>
          <w:rFonts w:ascii="Arial" w:hAnsi="Arial" w:cs="Arial"/>
          <w:sz w:val="22"/>
          <w:szCs w:val="22"/>
        </w:rPr>
        <w:t>execute</w:t>
      </w:r>
      <w:proofErr w:type="gramEnd"/>
      <w:r>
        <w:rPr>
          <w:rFonts w:ascii="Arial" w:hAnsi="Arial" w:cs="Arial"/>
          <w:sz w:val="22"/>
          <w:szCs w:val="22"/>
        </w:rPr>
        <w:t xml:space="preserve"> a non-disclosure agreement with Tyler MS.</w:t>
      </w:r>
    </w:p>
    <w:p w14:paraId="6AEF9771" w14:textId="77777777" w:rsidR="00D93A55" w:rsidRDefault="0067645A" w:rsidP="00D93A55">
      <w:pPr>
        <w:pStyle w:val="Default"/>
        <w:jc w:val="both"/>
        <w:rPr>
          <w:rFonts w:ascii="Arial" w:hAnsi="Arial" w:cs="Arial"/>
          <w:b/>
          <w:sz w:val="22"/>
          <w:szCs w:val="22"/>
        </w:rPr>
      </w:pPr>
      <w:r>
        <w:rPr>
          <w:sz w:val="22"/>
          <w:szCs w:val="22"/>
        </w:rPr>
        <w:br/>
      </w:r>
      <w:r>
        <w:rPr>
          <w:rFonts w:ascii="Arial" w:hAnsi="Arial" w:cs="Arial"/>
          <w:b/>
          <w:sz w:val="22"/>
          <w:szCs w:val="22"/>
        </w:rPr>
        <w:t>DFA Administrative Rule</w:t>
      </w:r>
    </w:p>
    <w:p w14:paraId="09670D21" w14:textId="0A692D12" w:rsidR="0067645A" w:rsidRDefault="0067645A" w:rsidP="00C9766B">
      <w:pPr>
        <w:pStyle w:val="Default"/>
        <w:jc w:val="both"/>
        <w:rPr>
          <w:rFonts w:ascii="Arial" w:hAnsi="Arial" w:cs="Arial"/>
          <w:sz w:val="22"/>
          <w:szCs w:val="22"/>
        </w:rPr>
      </w:pPr>
      <w:r>
        <w:rPr>
          <w:rFonts w:ascii="Arial" w:hAnsi="Arial" w:cs="Arial"/>
          <w:sz w:val="22"/>
          <w:szCs w:val="22"/>
        </w:rPr>
        <w:t>The Department of Finance and Administration (DFA) established an administrative rule to be followed when agencies, in accordance with §27-104-33, Mississippi Code of 1972, Annotated, elect to accept payment by credit cards, charge cards, debit cards, electronic check (</w:t>
      </w:r>
      <w:proofErr w:type="spellStart"/>
      <w:r>
        <w:rPr>
          <w:rFonts w:ascii="Arial" w:hAnsi="Arial" w:cs="Arial"/>
          <w:sz w:val="22"/>
          <w:szCs w:val="22"/>
        </w:rPr>
        <w:t>echeck</w:t>
      </w:r>
      <w:proofErr w:type="spellEnd"/>
      <w:r>
        <w:rPr>
          <w:rFonts w:ascii="Arial" w:hAnsi="Arial" w:cs="Arial"/>
          <w:sz w:val="22"/>
          <w:szCs w:val="22"/>
        </w:rPr>
        <w:t xml:space="preserve">) and other form of electronic payments for various services and fees collectible for agency purposes. See Attachment </w:t>
      </w:r>
      <w:r w:rsidR="004B38A0">
        <w:rPr>
          <w:rFonts w:ascii="Arial" w:hAnsi="Arial" w:cs="Arial"/>
          <w:sz w:val="22"/>
          <w:szCs w:val="22"/>
        </w:rPr>
        <w:t>B</w:t>
      </w:r>
      <w:r>
        <w:rPr>
          <w:rFonts w:ascii="Arial" w:hAnsi="Arial" w:cs="Arial"/>
          <w:sz w:val="22"/>
          <w:szCs w:val="22"/>
        </w:rPr>
        <w:t xml:space="preserve"> for Final Rule.</w:t>
      </w:r>
    </w:p>
    <w:p w14:paraId="516F4DD4" w14:textId="77777777" w:rsidR="0067645A" w:rsidRDefault="0067645A" w:rsidP="00C9766B">
      <w:pPr>
        <w:pStyle w:val="Default"/>
        <w:jc w:val="both"/>
        <w:rPr>
          <w:sz w:val="22"/>
          <w:szCs w:val="22"/>
        </w:rPr>
      </w:pPr>
    </w:p>
    <w:p w14:paraId="1982D63E" w14:textId="77777777" w:rsidR="00D93A55" w:rsidRDefault="0067645A" w:rsidP="00D93A55">
      <w:pPr>
        <w:pStyle w:val="Default"/>
        <w:jc w:val="both"/>
        <w:rPr>
          <w:rFonts w:ascii="Arial" w:hAnsi="Arial" w:cs="Arial"/>
          <w:b/>
          <w:bCs/>
          <w:sz w:val="22"/>
          <w:szCs w:val="22"/>
        </w:rPr>
      </w:pPr>
      <w:r>
        <w:rPr>
          <w:rFonts w:ascii="Arial" w:hAnsi="Arial" w:cs="Arial"/>
          <w:b/>
          <w:bCs/>
          <w:sz w:val="22"/>
          <w:szCs w:val="22"/>
        </w:rPr>
        <w:t>Payment Card Industry (PCI) Compliance</w:t>
      </w:r>
    </w:p>
    <w:p w14:paraId="2D5F8170" w14:textId="1C972526" w:rsidR="00287C0A" w:rsidRDefault="0067645A" w:rsidP="00C9766B">
      <w:pPr>
        <w:pStyle w:val="Default"/>
        <w:jc w:val="both"/>
        <w:rPr>
          <w:rFonts w:ascii="Arial" w:hAnsi="Arial" w:cs="Arial"/>
          <w:sz w:val="22"/>
          <w:szCs w:val="22"/>
        </w:rPr>
      </w:pPr>
      <w:r>
        <w:rPr>
          <w:rFonts w:ascii="Arial" w:hAnsi="Arial" w:cs="Arial"/>
          <w:sz w:val="22"/>
          <w:szCs w:val="22"/>
        </w:rPr>
        <w:t xml:space="preserve">Tyler MS will be responsible for reporting Payment Card Industry (PCI) compliance on behalf of the State. Each Agency will have some requirements that they are responsible for depending upon the payment service selected. These requirements will be communicated with each Agency prior to the start of service, though any future change in the PCI standards may require additional support from the State entity and awarded vendor.  Tyler MS </w:t>
      </w:r>
      <w:r>
        <w:rPr>
          <w:rFonts w:ascii="Arial" w:eastAsia="Calibri" w:hAnsi="Arial" w:cs="Arial"/>
          <w:sz w:val="22"/>
          <w:szCs w:val="22"/>
        </w:rPr>
        <w:t>payment processing services, including but not limited to the</w:t>
      </w:r>
      <w:r>
        <w:rPr>
          <w:rFonts w:ascii="Arial" w:hAnsi="Arial" w:cs="Arial"/>
          <w:sz w:val="22"/>
          <w:szCs w:val="22"/>
        </w:rPr>
        <w:t xml:space="preserve"> Transaction Processing Engine (TPE), are certified compliant with the PCI Data Security Standard (DSS)</w:t>
      </w:r>
      <w:r>
        <w:rPr>
          <w:rFonts w:ascii="Arial" w:eastAsia="Calibri" w:hAnsi="Arial" w:cs="Arial"/>
          <w:sz w:val="22"/>
          <w:szCs w:val="22"/>
        </w:rPr>
        <w:t xml:space="preserve"> as a Level 1 Service Provider</w:t>
      </w:r>
      <w:r>
        <w:rPr>
          <w:rFonts w:ascii="Arial" w:hAnsi="Arial" w:cs="Arial"/>
          <w:sz w:val="22"/>
          <w:szCs w:val="22"/>
        </w:rPr>
        <w:t>. Tyler is also listed as a Validated Payment Service Provider by VISA and MasterCard. TPE is hosted at a Central Data Center in Ashburn Virginia and complemented with a backup facility in Allen, Texas.</w:t>
      </w:r>
    </w:p>
    <w:p w14:paraId="3609A99D" w14:textId="50625296" w:rsidR="0067645A" w:rsidRDefault="0067645A" w:rsidP="00C9766B">
      <w:pPr>
        <w:pStyle w:val="Default"/>
        <w:jc w:val="both"/>
        <w:rPr>
          <w:rFonts w:ascii="Arial" w:hAnsi="Arial" w:cs="Arial"/>
          <w:sz w:val="22"/>
          <w:szCs w:val="22"/>
        </w:rPr>
      </w:pPr>
      <w:r>
        <w:br/>
      </w:r>
      <w:r>
        <w:rPr>
          <w:rFonts w:ascii="Arial" w:hAnsi="Arial" w:cs="Arial"/>
          <w:sz w:val="22"/>
          <w:szCs w:val="22"/>
        </w:rPr>
        <w:t xml:space="preserve">See Technical Requirements for notes to the PCI compliance responsibility of the awarded vendor. </w:t>
      </w:r>
    </w:p>
    <w:p w14:paraId="2BBCBF95" w14:textId="77777777" w:rsidR="0067645A" w:rsidRDefault="0067645A" w:rsidP="00C9766B">
      <w:pPr>
        <w:pStyle w:val="Default"/>
        <w:jc w:val="both"/>
        <w:rPr>
          <w:rFonts w:ascii="Arial" w:hAnsi="Arial" w:cs="Arial"/>
          <w:sz w:val="22"/>
          <w:szCs w:val="22"/>
        </w:rPr>
      </w:pPr>
    </w:p>
    <w:p w14:paraId="030E7EEA" w14:textId="77777777" w:rsidR="0067645A" w:rsidRDefault="0067645A" w:rsidP="00C9766B">
      <w:pPr>
        <w:pStyle w:val="Default"/>
        <w:jc w:val="both"/>
        <w:rPr>
          <w:rFonts w:ascii="Arial" w:hAnsi="Arial" w:cs="Arial"/>
          <w:sz w:val="22"/>
          <w:szCs w:val="22"/>
        </w:rPr>
      </w:pPr>
      <w:r>
        <w:rPr>
          <w:rFonts w:ascii="Arial" w:hAnsi="Arial" w:cs="Arial"/>
          <w:sz w:val="22"/>
          <w:szCs w:val="22"/>
        </w:rPr>
        <w:t xml:space="preserve">The fee break out can include a “subtotal” for services and a “Total ms.gov Price” or “ms.gov Order Total” which includes the </w:t>
      </w:r>
      <w:proofErr w:type="spellStart"/>
      <w:r>
        <w:rPr>
          <w:rFonts w:ascii="Arial" w:hAnsi="Arial" w:cs="Arial"/>
          <w:sz w:val="22"/>
          <w:szCs w:val="22"/>
        </w:rPr>
        <w:t>eGov</w:t>
      </w:r>
      <w:proofErr w:type="spellEnd"/>
      <w:r>
        <w:rPr>
          <w:rFonts w:ascii="Arial" w:hAnsi="Arial" w:cs="Arial"/>
          <w:sz w:val="22"/>
          <w:szCs w:val="22"/>
        </w:rPr>
        <w:t xml:space="preserve"> processing fee. See image below for example. </w:t>
      </w:r>
    </w:p>
    <w:p w14:paraId="5E278AEE" w14:textId="77777777" w:rsidR="0067645A" w:rsidRDefault="0067645A" w:rsidP="00C9766B">
      <w:pPr>
        <w:pStyle w:val="Default"/>
        <w:jc w:val="both"/>
        <w:rPr>
          <w:rFonts w:ascii="Arial" w:hAnsi="Arial" w:cs="Arial"/>
          <w:sz w:val="22"/>
          <w:szCs w:val="22"/>
        </w:rPr>
      </w:pPr>
    </w:p>
    <w:p w14:paraId="1BE37C5B" w14:textId="77777777" w:rsidR="005A0EA2" w:rsidRPr="005A0EA2" w:rsidRDefault="005A0EA2" w:rsidP="005A0EA2"/>
    <w:p w14:paraId="3D6EAC07" w14:textId="77777777" w:rsidR="005A0EA2" w:rsidRPr="005A0EA2" w:rsidRDefault="005A0EA2" w:rsidP="005A0EA2"/>
    <w:p w14:paraId="410F7AAA" w14:textId="77777777" w:rsidR="005A0EA2" w:rsidRPr="005A0EA2" w:rsidRDefault="005A0EA2" w:rsidP="005A0EA2"/>
    <w:p w14:paraId="2EC34577" w14:textId="5A2DD658" w:rsidR="005A0EA2" w:rsidRPr="005A0EA2" w:rsidRDefault="005A0EA2" w:rsidP="005A0EA2">
      <w:pPr>
        <w:tabs>
          <w:tab w:val="left" w:pos="2400"/>
        </w:tabs>
      </w:pPr>
      <w:r>
        <w:tab/>
      </w:r>
    </w:p>
    <w:p w14:paraId="2E09C7F2" w14:textId="15A810E7" w:rsidR="0067645A" w:rsidRDefault="0067645A" w:rsidP="00C9766B">
      <w:pPr>
        <w:pStyle w:val="Default"/>
        <w:jc w:val="both"/>
        <w:rPr>
          <w:sz w:val="22"/>
          <w:szCs w:val="22"/>
        </w:rPr>
      </w:pPr>
      <w:r>
        <w:rPr>
          <w:noProof/>
          <w:color w:val="2B579A"/>
          <w:shd w:val="clear" w:color="auto" w:fill="E6E6E6"/>
        </w:rPr>
        <w:lastRenderedPageBreak/>
        <w:drawing>
          <wp:inline distT="0" distB="0" distL="0" distR="0" wp14:anchorId="56552872" wp14:editId="06DF2C74">
            <wp:extent cx="6400800" cy="1653540"/>
            <wp:effectExtent l="0" t="0" r="0" b="3810"/>
            <wp:docPr id="663968226"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68226" name="Picture 4" descr="Graphical user interfa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1653540"/>
                    </a:xfrm>
                    <a:prstGeom prst="rect">
                      <a:avLst/>
                    </a:prstGeom>
                    <a:noFill/>
                    <a:ln>
                      <a:noFill/>
                    </a:ln>
                  </pic:spPr>
                </pic:pic>
              </a:graphicData>
            </a:graphic>
          </wp:inline>
        </w:drawing>
      </w:r>
    </w:p>
    <w:p w14:paraId="48486694" w14:textId="77777777" w:rsidR="0067645A" w:rsidRDefault="0067645A" w:rsidP="00C9766B">
      <w:pPr>
        <w:pStyle w:val="Default"/>
        <w:jc w:val="both"/>
        <w:rPr>
          <w:sz w:val="22"/>
          <w:szCs w:val="22"/>
        </w:rPr>
      </w:pPr>
    </w:p>
    <w:p w14:paraId="637C2383" w14:textId="77777777" w:rsidR="00D93A55" w:rsidRDefault="0067645A" w:rsidP="00D93A55">
      <w:pPr>
        <w:pStyle w:val="Default"/>
        <w:jc w:val="both"/>
        <w:rPr>
          <w:rFonts w:ascii="Arial" w:hAnsi="Arial" w:cs="Arial"/>
          <w:b/>
          <w:bCs/>
          <w:sz w:val="22"/>
          <w:szCs w:val="22"/>
        </w:rPr>
      </w:pPr>
      <w:r>
        <w:rPr>
          <w:rFonts w:ascii="Arial" w:hAnsi="Arial" w:cs="Arial"/>
          <w:b/>
          <w:bCs/>
          <w:sz w:val="22"/>
          <w:szCs w:val="22"/>
        </w:rPr>
        <w:t>Merchant of Record</w:t>
      </w:r>
    </w:p>
    <w:p w14:paraId="1C94298A" w14:textId="67071D6E" w:rsidR="0067645A" w:rsidRDefault="0067645A" w:rsidP="00C9766B">
      <w:pPr>
        <w:pStyle w:val="Default"/>
        <w:jc w:val="both"/>
        <w:rPr>
          <w:rFonts w:ascii="Arial" w:hAnsi="Arial" w:cs="Arial"/>
          <w:sz w:val="22"/>
          <w:szCs w:val="22"/>
        </w:rPr>
      </w:pPr>
      <w:r>
        <w:rPr>
          <w:rFonts w:ascii="Arial" w:hAnsi="Arial" w:cs="Arial"/>
          <w:sz w:val="22"/>
          <w:szCs w:val="22"/>
        </w:rPr>
        <w:t>In order to act as the single point of contact between the State, Tyler MS, the payment processor, the merchant acquiring bank, and end users of ms.gov services, Tyler MS will be the “Merchant of Record” for this RFP. As the single point of contact for the State, Tyler MS will work directly with the processor and the acquiring bank to request and set up merchant accounts and will be responsible for all areas of merchant services, including merchant fees.</w:t>
      </w:r>
    </w:p>
    <w:p w14:paraId="7B0A4A94" w14:textId="77777777" w:rsidR="0067645A" w:rsidRDefault="0067645A" w:rsidP="00C9766B">
      <w:pPr>
        <w:pStyle w:val="Default"/>
        <w:jc w:val="both"/>
        <w:rPr>
          <w:rFonts w:ascii="Arial" w:hAnsi="Arial" w:cs="Arial"/>
          <w:sz w:val="22"/>
          <w:szCs w:val="22"/>
        </w:rPr>
      </w:pPr>
    </w:p>
    <w:p w14:paraId="4C67E7AB" w14:textId="77777777" w:rsidR="00D93A55" w:rsidRDefault="0067645A" w:rsidP="00D93A55">
      <w:pPr>
        <w:pStyle w:val="Default"/>
        <w:jc w:val="both"/>
        <w:rPr>
          <w:rFonts w:ascii="Arial" w:hAnsi="Arial" w:cs="Arial"/>
          <w:b/>
          <w:bCs/>
          <w:sz w:val="22"/>
          <w:szCs w:val="22"/>
        </w:rPr>
      </w:pPr>
      <w:proofErr w:type="spellStart"/>
      <w:r>
        <w:rPr>
          <w:rFonts w:ascii="Arial" w:hAnsi="Arial" w:cs="Arial"/>
          <w:b/>
          <w:bCs/>
          <w:sz w:val="22"/>
          <w:szCs w:val="22"/>
        </w:rPr>
        <w:t>eGov</w:t>
      </w:r>
      <w:proofErr w:type="spellEnd"/>
      <w:r>
        <w:rPr>
          <w:rFonts w:ascii="Arial" w:hAnsi="Arial" w:cs="Arial"/>
          <w:b/>
          <w:bCs/>
          <w:sz w:val="22"/>
          <w:szCs w:val="22"/>
        </w:rPr>
        <w:t xml:space="preserve"> Transaction Fees</w:t>
      </w:r>
    </w:p>
    <w:p w14:paraId="54DBF97D" w14:textId="1700F61B" w:rsidR="0067645A" w:rsidRDefault="0067645A" w:rsidP="00C9766B">
      <w:pPr>
        <w:pStyle w:val="Default"/>
        <w:jc w:val="both"/>
        <w:rPr>
          <w:rFonts w:ascii="Arial" w:hAnsi="Arial" w:cs="Arial"/>
          <w:sz w:val="22"/>
          <w:szCs w:val="22"/>
        </w:rPr>
      </w:pPr>
      <w:r>
        <w:rPr>
          <w:rFonts w:ascii="Arial" w:hAnsi="Arial" w:cs="Arial"/>
          <w:sz w:val="22"/>
          <w:szCs w:val="22"/>
        </w:rPr>
        <w:t xml:space="preserve">There will be standard payment processing fees associated with each payment transaction. Customer approval (electronic or otherwise) of Tyler MS payment processing fees will be obtained prior to initiating payment.  </w:t>
      </w:r>
    </w:p>
    <w:p w14:paraId="15FF15A4" w14:textId="77777777" w:rsidR="0067645A" w:rsidRDefault="0067645A" w:rsidP="00C9766B">
      <w:pPr>
        <w:pStyle w:val="Default"/>
        <w:jc w:val="both"/>
        <w:rPr>
          <w:rFonts w:ascii="Arial" w:hAnsi="Arial" w:cs="Arial"/>
          <w:sz w:val="22"/>
          <w:szCs w:val="22"/>
        </w:rPr>
      </w:pPr>
    </w:p>
    <w:p w14:paraId="09E40B80" w14:textId="77777777" w:rsidR="00D93A55" w:rsidRDefault="0067645A" w:rsidP="00D93A55">
      <w:pPr>
        <w:pStyle w:val="Default"/>
        <w:jc w:val="both"/>
        <w:rPr>
          <w:rFonts w:ascii="Arial" w:hAnsi="Arial" w:cs="Arial"/>
          <w:b/>
          <w:bCs/>
          <w:sz w:val="22"/>
          <w:szCs w:val="22"/>
        </w:rPr>
      </w:pPr>
      <w:r>
        <w:rPr>
          <w:rFonts w:ascii="Arial" w:hAnsi="Arial" w:cs="Arial"/>
          <w:b/>
          <w:bCs/>
          <w:sz w:val="22"/>
          <w:szCs w:val="22"/>
        </w:rPr>
        <w:t>MAGIC</w:t>
      </w:r>
    </w:p>
    <w:p w14:paraId="75EDF743" w14:textId="1AEE27ED" w:rsidR="0067645A" w:rsidRDefault="0067645A" w:rsidP="00C9766B">
      <w:pPr>
        <w:pStyle w:val="Default"/>
        <w:jc w:val="both"/>
        <w:rPr>
          <w:rFonts w:ascii="Arial" w:hAnsi="Arial" w:cs="Arial"/>
          <w:sz w:val="22"/>
          <w:szCs w:val="22"/>
        </w:rPr>
      </w:pPr>
      <w:r>
        <w:rPr>
          <w:rFonts w:ascii="Arial" w:hAnsi="Arial" w:cs="Arial"/>
          <w:sz w:val="22"/>
          <w:szCs w:val="22"/>
        </w:rPr>
        <w:t xml:space="preserve">Tyler MS payment solution processes </w:t>
      </w:r>
      <w:proofErr w:type="gramStart"/>
      <w:r>
        <w:rPr>
          <w:rFonts w:ascii="Arial" w:hAnsi="Arial" w:cs="Arial"/>
          <w:sz w:val="22"/>
          <w:szCs w:val="22"/>
        </w:rPr>
        <w:t>is</w:t>
      </w:r>
      <w:proofErr w:type="gramEnd"/>
      <w:r>
        <w:rPr>
          <w:rFonts w:ascii="Arial" w:hAnsi="Arial" w:cs="Arial"/>
          <w:sz w:val="22"/>
          <w:szCs w:val="22"/>
        </w:rPr>
        <w:t xml:space="preserve"> integrated with MAGIC, Mississippi’s statewide accounting and procurement system of record. At least three (3) weeks prior to service launch</w:t>
      </w:r>
      <w:r w:rsidR="003B645F">
        <w:rPr>
          <w:rFonts w:ascii="Arial" w:hAnsi="Arial" w:cs="Arial"/>
          <w:sz w:val="22"/>
          <w:szCs w:val="22"/>
        </w:rPr>
        <w:t>,</w:t>
      </w:r>
      <w:r>
        <w:rPr>
          <w:rFonts w:ascii="Arial" w:hAnsi="Arial" w:cs="Arial"/>
          <w:sz w:val="22"/>
          <w:szCs w:val="22"/>
        </w:rPr>
        <w:t xml:space="preserve"> the Mississippi agency will be required to work with DFA to set up corresponding charges table entries. After appropriate edits are made to the charges table, the Mississippi agency seeking services and awarded vendor will be required to work with Tyler MS to ensure adequate testing, confirming the application transactions are posting to MAGIC. A live transaction test must be completed no later than three (3) business days before service launch.    </w:t>
      </w:r>
    </w:p>
    <w:p w14:paraId="4533B881" w14:textId="77777777" w:rsidR="0067645A" w:rsidRDefault="0067645A" w:rsidP="00C9766B">
      <w:pPr>
        <w:pStyle w:val="Default"/>
        <w:jc w:val="both"/>
        <w:rPr>
          <w:rFonts w:ascii="Arial" w:hAnsi="Arial" w:cs="Arial"/>
          <w:sz w:val="22"/>
          <w:szCs w:val="22"/>
        </w:rPr>
      </w:pPr>
    </w:p>
    <w:p w14:paraId="6C3A0DBE" w14:textId="77777777" w:rsidR="0067645A" w:rsidRDefault="0067645A" w:rsidP="00D93A55">
      <w:pPr>
        <w:pStyle w:val="Default"/>
        <w:jc w:val="both"/>
        <w:rPr>
          <w:rFonts w:ascii="Arial" w:hAnsi="Arial" w:cs="Arial"/>
          <w:b/>
          <w:bCs/>
          <w:sz w:val="22"/>
          <w:szCs w:val="22"/>
        </w:rPr>
      </w:pPr>
      <w:r>
        <w:rPr>
          <w:rFonts w:ascii="Arial" w:hAnsi="Arial" w:cs="Arial"/>
          <w:b/>
          <w:bCs/>
          <w:sz w:val="22"/>
          <w:szCs w:val="22"/>
        </w:rPr>
        <w:t>Refunds, Chargebacks, Returns</w:t>
      </w:r>
    </w:p>
    <w:p w14:paraId="0A2E2CE9" w14:textId="77777777" w:rsidR="0067645A" w:rsidRDefault="0067645A" w:rsidP="00C9766B">
      <w:pPr>
        <w:jc w:val="both"/>
        <w:rPr>
          <w:rFonts w:ascii="Arial" w:hAnsi="Arial" w:cs="Arial"/>
          <w:sz w:val="22"/>
          <w:szCs w:val="22"/>
        </w:rPr>
      </w:pPr>
      <w:r>
        <w:rPr>
          <w:rFonts w:ascii="Arial" w:hAnsi="Arial" w:cs="Arial"/>
          <w:sz w:val="22"/>
          <w:szCs w:val="22"/>
        </w:rPr>
        <w:t xml:space="preserve">As the merchant of record and official payment processor, Tyler MS will handle all refunds, chargeback representments and returned </w:t>
      </w:r>
      <w:proofErr w:type="spellStart"/>
      <w:r>
        <w:rPr>
          <w:rFonts w:ascii="Arial" w:hAnsi="Arial" w:cs="Arial"/>
          <w:sz w:val="22"/>
          <w:szCs w:val="22"/>
        </w:rPr>
        <w:t>echecks</w:t>
      </w:r>
      <w:proofErr w:type="spellEnd"/>
      <w:r>
        <w:rPr>
          <w:rFonts w:ascii="Arial" w:hAnsi="Arial" w:cs="Arial"/>
          <w:sz w:val="22"/>
          <w:szCs w:val="22"/>
        </w:rPr>
        <w:t xml:space="preserve">. However, Tyler MS is not responsible for covering any monies that must be netted from the agency’s account through refund, successful chargeback or returned </w:t>
      </w:r>
      <w:proofErr w:type="spellStart"/>
      <w:r>
        <w:rPr>
          <w:rFonts w:ascii="Arial" w:hAnsi="Arial" w:cs="Arial"/>
          <w:sz w:val="22"/>
          <w:szCs w:val="22"/>
        </w:rPr>
        <w:t>echeck</w:t>
      </w:r>
      <w:proofErr w:type="spellEnd"/>
      <w:r>
        <w:rPr>
          <w:rFonts w:ascii="Arial" w:hAnsi="Arial" w:cs="Arial"/>
          <w:sz w:val="22"/>
          <w:szCs w:val="22"/>
        </w:rPr>
        <w:t xml:space="preserve">. Below are the processes for each. </w:t>
      </w:r>
    </w:p>
    <w:p w14:paraId="287D95ED" w14:textId="77777777" w:rsidR="0067645A" w:rsidRDefault="0067645A" w:rsidP="00C9766B">
      <w:pPr>
        <w:jc w:val="both"/>
        <w:rPr>
          <w:rFonts w:ascii="Arial" w:hAnsi="Arial" w:cs="Arial"/>
          <w:sz w:val="22"/>
          <w:szCs w:val="22"/>
        </w:rPr>
      </w:pPr>
      <w:r>
        <w:rPr>
          <w:rFonts w:ascii="Arial" w:hAnsi="Arial" w:cs="Arial"/>
          <w:sz w:val="22"/>
          <w:szCs w:val="22"/>
          <w:u w:val="single"/>
        </w:rPr>
        <w:t>Refunds</w:t>
      </w:r>
      <w:r>
        <w:rPr>
          <w:rFonts w:ascii="Arial" w:hAnsi="Arial" w:cs="Arial"/>
          <w:sz w:val="22"/>
          <w:szCs w:val="22"/>
        </w:rPr>
        <w:br/>
        <w:t xml:space="preserve">The refund process is initiated by either customer or agency request.  </w:t>
      </w:r>
    </w:p>
    <w:p w14:paraId="74ED702C" w14:textId="77777777" w:rsidR="0067645A" w:rsidRDefault="0067645A" w:rsidP="00C9766B">
      <w:pPr>
        <w:pStyle w:val="ListParagraph"/>
        <w:numPr>
          <w:ilvl w:val="0"/>
          <w:numId w:val="34"/>
        </w:numPr>
        <w:jc w:val="both"/>
        <w:rPr>
          <w:rFonts w:ascii="Arial" w:hAnsi="Arial" w:cs="Arial"/>
          <w:sz w:val="22"/>
          <w:szCs w:val="22"/>
        </w:rPr>
      </w:pPr>
      <w:r>
        <w:rPr>
          <w:rFonts w:ascii="Arial" w:hAnsi="Arial" w:cs="Arial"/>
          <w:sz w:val="22"/>
          <w:szCs w:val="22"/>
        </w:rPr>
        <w:t xml:space="preserve">Upon customer request </w:t>
      </w:r>
      <w:proofErr w:type="gramStart"/>
      <w:r>
        <w:rPr>
          <w:rFonts w:ascii="Arial" w:hAnsi="Arial" w:cs="Arial"/>
          <w:sz w:val="22"/>
          <w:szCs w:val="22"/>
        </w:rPr>
        <w:t>Tyler</w:t>
      </w:r>
      <w:proofErr w:type="gramEnd"/>
      <w:r>
        <w:rPr>
          <w:rFonts w:ascii="Arial" w:hAnsi="Arial" w:cs="Arial"/>
          <w:sz w:val="22"/>
          <w:szCs w:val="22"/>
        </w:rPr>
        <w:t xml:space="preserve"> </w:t>
      </w:r>
      <w:proofErr w:type="gramStart"/>
      <w:r>
        <w:rPr>
          <w:rFonts w:ascii="Arial" w:hAnsi="Arial" w:cs="Arial"/>
          <w:sz w:val="22"/>
          <w:szCs w:val="22"/>
        </w:rPr>
        <w:t>MS</w:t>
      </w:r>
      <w:proofErr w:type="gramEnd"/>
      <w:r>
        <w:rPr>
          <w:rFonts w:ascii="Arial" w:hAnsi="Arial" w:cs="Arial"/>
          <w:sz w:val="22"/>
          <w:szCs w:val="22"/>
        </w:rPr>
        <w:t xml:space="preserve"> will contact the </w:t>
      </w:r>
      <w:proofErr w:type="gramStart"/>
      <w:r>
        <w:rPr>
          <w:rFonts w:ascii="Arial" w:hAnsi="Arial" w:cs="Arial"/>
          <w:sz w:val="22"/>
          <w:szCs w:val="22"/>
        </w:rPr>
        <w:t>agency financial contact</w:t>
      </w:r>
      <w:proofErr w:type="gramEnd"/>
      <w:r>
        <w:rPr>
          <w:rFonts w:ascii="Arial" w:hAnsi="Arial" w:cs="Arial"/>
          <w:sz w:val="22"/>
          <w:szCs w:val="22"/>
        </w:rPr>
        <w:t xml:space="preserve"> (established at project initiation) for approval prior to refund.</w:t>
      </w:r>
    </w:p>
    <w:p w14:paraId="53F54856" w14:textId="77777777" w:rsidR="0067645A" w:rsidRDefault="0067645A" w:rsidP="00C9766B">
      <w:pPr>
        <w:pStyle w:val="ListParagraph"/>
        <w:numPr>
          <w:ilvl w:val="0"/>
          <w:numId w:val="34"/>
        </w:numPr>
        <w:jc w:val="both"/>
        <w:rPr>
          <w:rFonts w:ascii="Arial" w:hAnsi="Arial" w:cs="Arial"/>
          <w:sz w:val="22"/>
          <w:szCs w:val="22"/>
        </w:rPr>
      </w:pPr>
      <w:r>
        <w:rPr>
          <w:rFonts w:ascii="Arial" w:hAnsi="Arial" w:cs="Arial"/>
          <w:sz w:val="22"/>
          <w:szCs w:val="22"/>
        </w:rPr>
        <w:t xml:space="preserve">Agency contacts have access to and are encouraged to use the Tyler MS refund tool for their refund requests. This ensures adequate </w:t>
      </w:r>
      <w:proofErr w:type="gramStart"/>
      <w:r>
        <w:rPr>
          <w:rFonts w:ascii="Arial" w:hAnsi="Arial" w:cs="Arial"/>
          <w:sz w:val="22"/>
          <w:szCs w:val="22"/>
        </w:rPr>
        <w:t>logs</w:t>
      </w:r>
      <w:proofErr w:type="gramEnd"/>
      <w:r>
        <w:rPr>
          <w:rFonts w:ascii="Arial" w:hAnsi="Arial" w:cs="Arial"/>
          <w:sz w:val="22"/>
          <w:szCs w:val="22"/>
        </w:rPr>
        <w:t xml:space="preserve"> of all requested refunds </w:t>
      </w:r>
    </w:p>
    <w:p w14:paraId="03E4EAEE" w14:textId="77777777" w:rsidR="0067645A" w:rsidRDefault="0067645A" w:rsidP="00C9766B">
      <w:pPr>
        <w:pStyle w:val="ListParagraph"/>
        <w:numPr>
          <w:ilvl w:val="0"/>
          <w:numId w:val="34"/>
        </w:numPr>
        <w:jc w:val="both"/>
        <w:rPr>
          <w:rFonts w:ascii="Arial" w:hAnsi="Arial" w:cs="Arial"/>
          <w:sz w:val="22"/>
          <w:szCs w:val="22"/>
        </w:rPr>
      </w:pPr>
      <w:r>
        <w:rPr>
          <w:rFonts w:ascii="Arial" w:hAnsi="Arial" w:cs="Arial"/>
          <w:sz w:val="22"/>
          <w:szCs w:val="22"/>
        </w:rPr>
        <w:t>Refund API is available for programmatic refunds and approval of use is required by the individual agency.</w:t>
      </w:r>
    </w:p>
    <w:p w14:paraId="00155E38" w14:textId="77777777" w:rsidR="0067645A" w:rsidRDefault="0067645A" w:rsidP="00C9766B">
      <w:pPr>
        <w:pStyle w:val="ListParagraph"/>
        <w:numPr>
          <w:ilvl w:val="0"/>
          <w:numId w:val="34"/>
        </w:numPr>
        <w:jc w:val="both"/>
        <w:rPr>
          <w:rFonts w:ascii="Arial" w:hAnsi="Arial" w:cs="Arial"/>
          <w:sz w:val="22"/>
          <w:szCs w:val="22"/>
        </w:rPr>
      </w:pPr>
      <w:r>
        <w:rPr>
          <w:rFonts w:ascii="Arial" w:hAnsi="Arial" w:cs="Arial"/>
          <w:sz w:val="22"/>
          <w:szCs w:val="22"/>
        </w:rPr>
        <w:t>After agency request or approval, Tyler MS refunds the charge in TPE and notifies the requestor upon completion.</w:t>
      </w:r>
    </w:p>
    <w:p w14:paraId="4ECC2ED5" w14:textId="77777777" w:rsidR="0067645A" w:rsidRDefault="0067645A" w:rsidP="00C9766B">
      <w:pPr>
        <w:pStyle w:val="ListParagraph"/>
        <w:jc w:val="both"/>
        <w:rPr>
          <w:rFonts w:ascii="Arial" w:hAnsi="Arial" w:cs="Arial"/>
          <w:sz w:val="22"/>
          <w:szCs w:val="22"/>
        </w:rPr>
      </w:pPr>
      <w:r>
        <w:rPr>
          <w:rFonts w:ascii="Arial" w:hAnsi="Arial" w:cs="Arial"/>
          <w:sz w:val="22"/>
          <w:szCs w:val="22"/>
        </w:rPr>
        <w:lastRenderedPageBreak/>
        <w:t>Through MAGIC refunds are netted from the next day’s deposits, or the next deposit containing  funds for the refund to net.</w:t>
      </w:r>
    </w:p>
    <w:p w14:paraId="0A2D8CD5" w14:textId="77777777" w:rsidR="0067645A" w:rsidRDefault="0067645A" w:rsidP="00C9766B">
      <w:pPr>
        <w:pStyle w:val="Default"/>
        <w:jc w:val="both"/>
        <w:rPr>
          <w:rFonts w:ascii="Arial" w:hAnsi="Arial" w:cs="Arial"/>
          <w:sz w:val="22"/>
          <w:szCs w:val="22"/>
          <w:u w:val="single"/>
        </w:rPr>
      </w:pPr>
      <w:r>
        <w:rPr>
          <w:rFonts w:ascii="Arial" w:hAnsi="Arial" w:cs="Arial"/>
          <w:sz w:val="22"/>
          <w:szCs w:val="22"/>
          <w:u w:val="single"/>
        </w:rPr>
        <w:t>Chargebacks</w:t>
      </w:r>
    </w:p>
    <w:p w14:paraId="10807444" w14:textId="77777777" w:rsidR="0067645A" w:rsidRDefault="0067645A" w:rsidP="00C9766B">
      <w:pPr>
        <w:jc w:val="both"/>
        <w:rPr>
          <w:rFonts w:ascii="Arial" w:hAnsi="Arial" w:cs="Arial"/>
          <w:sz w:val="22"/>
          <w:szCs w:val="22"/>
        </w:rPr>
      </w:pPr>
      <w:r>
        <w:rPr>
          <w:rFonts w:ascii="Arial" w:hAnsi="Arial" w:cs="Arial"/>
          <w:sz w:val="22"/>
          <w:szCs w:val="22"/>
        </w:rPr>
        <w:t xml:space="preserve">A chargeback is a monetary dispute that is initiated by the Issuing Bank (issuer disputes the posting of the transaction) or the cardholder (a cardholder disputes a transaction).  </w:t>
      </w:r>
    </w:p>
    <w:p w14:paraId="2AF9009D" w14:textId="77777777" w:rsidR="0067645A" w:rsidRDefault="0067645A" w:rsidP="00C9766B">
      <w:pPr>
        <w:pStyle w:val="ListParagraph"/>
        <w:numPr>
          <w:ilvl w:val="0"/>
          <w:numId w:val="35"/>
        </w:numPr>
        <w:ind w:left="720"/>
        <w:jc w:val="both"/>
        <w:rPr>
          <w:rFonts w:ascii="Arial" w:hAnsi="Arial" w:cs="Arial"/>
          <w:sz w:val="22"/>
          <w:szCs w:val="22"/>
        </w:rPr>
      </w:pPr>
      <w:r>
        <w:rPr>
          <w:rFonts w:ascii="Arial" w:hAnsi="Arial" w:cs="Arial"/>
          <w:sz w:val="22"/>
          <w:szCs w:val="22"/>
        </w:rPr>
        <w:t xml:space="preserve">Customer or card issuing bank sees what appears to be a suspicious charge on their statement.  </w:t>
      </w:r>
    </w:p>
    <w:p w14:paraId="2D994B72" w14:textId="77777777" w:rsidR="0067645A" w:rsidRDefault="0067645A" w:rsidP="00C9766B">
      <w:pPr>
        <w:pStyle w:val="ListParagraph"/>
        <w:numPr>
          <w:ilvl w:val="0"/>
          <w:numId w:val="35"/>
        </w:numPr>
        <w:ind w:left="720"/>
        <w:jc w:val="both"/>
        <w:rPr>
          <w:rFonts w:ascii="Arial" w:hAnsi="Arial" w:cs="Arial"/>
          <w:sz w:val="22"/>
          <w:szCs w:val="22"/>
        </w:rPr>
      </w:pPr>
      <w:r>
        <w:rPr>
          <w:rFonts w:ascii="Arial" w:hAnsi="Arial" w:cs="Arial"/>
          <w:sz w:val="22"/>
          <w:szCs w:val="22"/>
        </w:rPr>
        <w:t xml:space="preserve">The customer contacts the card company to dispute the charge and initiate the chargeback process. Note: depending on the company policies of the company that issued the card the company may initiate the chargeback without customer notification. </w:t>
      </w:r>
    </w:p>
    <w:p w14:paraId="6CF02808" w14:textId="77777777" w:rsidR="0067645A" w:rsidRDefault="0067645A" w:rsidP="00C9766B">
      <w:pPr>
        <w:pStyle w:val="ListParagraph"/>
        <w:numPr>
          <w:ilvl w:val="0"/>
          <w:numId w:val="35"/>
        </w:numPr>
        <w:ind w:left="720"/>
        <w:jc w:val="both"/>
        <w:rPr>
          <w:rFonts w:ascii="Arial" w:hAnsi="Arial" w:cs="Arial"/>
          <w:sz w:val="22"/>
          <w:szCs w:val="22"/>
        </w:rPr>
      </w:pPr>
      <w:r>
        <w:rPr>
          <w:rFonts w:ascii="Arial" w:hAnsi="Arial" w:cs="Arial"/>
          <w:sz w:val="22"/>
          <w:szCs w:val="22"/>
        </w:rPr>
        <w:t xml:space="preserve">Tyler MS receives a chargeback email from our processor notifying us of the transaction details of the chargeback.  Once this notification is received the processor pulls the funds back from the Portal account until supporting documentation is obtained. (Tyler MS’ processor has 45 days from the time the customer disputes the charge to contact Tyler MS for additional information.) </w:t>
      </w:r>
    </w:p>
    <w:p w14:paraId="543CB005" w14:textId="14F840B3" w:rsidR="0067645A" w:rsidRDefault="0067645A" w:rsidP="00C9766B">
      <w:pPr>
        <w:pStyle w:val="ListParagraph"/>
        <w:numPr>
          <w:ilvl w:val="0"/>
          <w:numId w:val="35"/>
        </w:numPr>
        <w:ind w:left="720"/>
        <w:jc w:val="both"/>
        <w:rPr>
          <w:rFonts w:ascii="Arial" w:hAnsi="Arial" w:cs="Arial"/>
          <w:sz w:val="22"/>
          <w:szCs w:val="22"/>
        </w:rPr>
      </w:pPr>
      <w:r>
        <w:rPr>
          <w:rFonts w:ascii="Arial" w:hAnsi="Arial" w:cs="Arial"/>
          <w:sz w:val="22"/>
          <w:szCs w:val="22"/>
        </w:rPr>
        <w:t>Based on the information provided in the chargeback notification</w:t>
      </w:r>
      <w:r w:rsidR="00126460">
        <w:rPr>
          <w:rFonts w:ascii="Arial" w:hAnsi="Arial" w:cs="Arial"/>
          <w:sz w:val="22"/>
          <w:szCs w:val="22"/>
        </w:rPr>
        <w:t>,</w:t>
      </w:r>
      <w:r>
        <w:rPr>
          <w:rFonts w:ascii="Arial" w:hAnsi="Arial" w:cs="Arial"/>
          <w:sz w:val="22"/>
          <w:szCs w:val="22"/>
        </w:rPr>
        <w:t xml:space="preserve"> Tyler MS researches the charge internally first. </w:t>
      </w:r>
    </w:p>
    <w:p w14:paraId="3739860F" w14:textId="37C8474B" w:rsidR="0067645A" w:rsidRDefault="0067645A" w:rsidP="00C9766B">
      <w:pPr>
        <w:pStyle w:val="ListParagraph"/>
        <w:numPr>
          <w:ilvl w:val="0"/>
          <w:numId w:val="35"/>
        </w:numPr>
        <w:ind w:left="720"/>
        <w:jc w:val="both"/>
        <w:rPr>
          <w:rFonts w:ascii="Arial" w:hAnsi="Arial" w:cs="Arial"/>
          <w:sz w:val="22"/>
          <w:szCs w:val="22"/>
        </w:rPr>
      </w:pPr>
      <w:r>
        <w:rPr>
          <w:rFonts w:ascii="Arial" w:hAnsi="Arial" w:cs="Arial"/>
          <w:sz w:val="22"/>
          <w:szCs w:val="22"/>
        </w:rPr>
        <w:t>If the disputed charge is a true duplicate charge (same customer information, amount, etc.), Tyler MS allows the chargeback to process and it is automatically marked in TPE.   In the event that Tyler MS needs agency verification, Tyler MS contacts the appropriate agency contact(s) (financial contact gathered at project initiation) by email to explain the chargeback, provide charge details</w:t>
      </w:r>
      <w:r w:rsidR="00C75C68">
        <w:rPr>
          <w:rFonts w:ascii="Arial" w:hAnsi="Arial" w:cs="Arial"/>
          <w:sz w:val="22"/>
          <w:szCs w:val="22"/>
        </w:rPr>
        <w:t>,</w:t>
      </w:r>
      <w:r>
        <w:rPr>
          <w:rFonts w:ascii="Arial" w:hAnsi="Arial" w:cs="Arial"/>
          <w:sz w:val="22"/>
          <w:szCs w:val="22"/>
        </w:rPr>
        <w:t xml:space="preserve"> and verify with the contact that it is a valid charge.  If needed</w:t>
      </w:r>
      <w:r w:rsidR="00C75C68">
        <w:rPr>
          <w:rFonts w:ascii="Arial" w:hAnsi="Arial" w:cs="Arial"/>
          <w:sz w:val="22"/>
          <w:szCs w:val="22"/>
        </w:rPr>
        <w:t>,</w:t>
      </w:r>
      <w:r>
        <w:rPr>
          <w:rFonts w:ascii="Arial" w:hAnsi="Arial" w:cs="Arial"/>
          <w:sz w:val="22"/>
          <w:szCs w:val="22"/>
        </w:rPr>
        <w:t xml:space="preserve"> Tyler MS requests the agency provide any additional information they may have to support the claim.</w:t>
      </w:r>
    </w:p>
    <w:p w14:paraId="34D8C9E9" w14:textId="54030122" w:rsidR="0067645A" w:rsidRDefault="0067645A" w:rsidP="00C9766B">
      <w:pPr>
        <w:pStyle w:val="ListParagraph"/>
        <w:numPr>
          <w:ilvl w:val="0"/>
          <w:numId w:val="35"/>
        </w:numPr>
        <w:ind w:left="720"/>
        <w:jc w:val="both"/>
        <w:rPr>
          <w:rFonts w:ascii="Arial" w:hAnsi="Arial" w:cs="Arial"/>
          <w:sz w:val="22"/>
          <w:szCs w:val="22"/>
        </w:rPr>
      </w:pPr>
      <w:r>
        <w:rPr>
          <w:rFonts w:ascii="Arial" w:hAnsi="Arial" w:cs="Arial"/>
          <w:sz w:val="22"/>
          <w:szCs w:val="22"/>
        </w:rPr>
        <w:t>If the charge is valid</w:t>
      </w:r>
      <w:r w:rsidR="00C75C68">
        <w:rPr>
          <w:rFonts w:ascii="Arial" w:hAnsi="Arial" w:cs="Arial"/>
          <w:sz w:val="22"/>
          <w:szCs w:val="22"/>
        </w:rPr>
        <w:t>,</w:t>
      </w:r>
      <w:r>
        <w:rPr>
          <w:rFonts w:ascii="Arial" w:hAnsi="Arial" w:cs="Arial"/>
          <w:sz w:val="22"/>
          <w:szCs w:val="22"/>
        </w:rPr>
        <w:t xml:space="preserve"> Tyler MS will provide the sales drafts (chargeback receipt, TPE receipts, agency support, etc.) back to the processor to support the charge validity. </w:t>
      </w:r>
    </w:p>
    <w:p w14:paraId="7BC6CF06" w14:textId="77777777" w:rsidR="0067645A" w:rsidRDefault="0067645A" w:rsidP="00C9766B">
      <w:pPr>
        <w:pStyle w:val="ListParagraph"/>
        <w:numPr>
          <w:ilvl w:val="0"/>
          <w:numId w:val="35"/>
        </w:numPr>
        <w:ind w:left="720"/>
        <w:jc w:val="both"/>
        <w:rPr>
          <w:rFonts w:ascii="Arial" w:hAnsi="Arial" w:cs="Arial"/>
          <w:sz w:val="22"/>
          <w:szCs w:val="22"/>
        </w:rPr>
      </w:pPr>
      <w:r>
        <w:rPr>
          <w:rFonts w:ascii="Arial" w:hAnsi="Arial" w:cs="Arial"/>
          <w:sz w:val="22"/>
          <w:szCs w:val="22"/>
        </w:rPr>
        <w:t>If the agency advises that the chargeback should result in the return of funds to the customer, Tyler MS will mark the chargeback as accepted.</w:t>
      </w:r>
    </w:p>
    <w:p w14:paraId="15012227" w14:textId="7020145E" w:rsidR="0067645A" w:rsidRDefault="0067645A" w:rsidP="00C9766B">
      <w:pPr>
        <w:pStyle w:val="ListParagraph"/>
        <w:numPr>
          <w:ilvl w:val="0"/>
          <w:numId w:val="35"/>
        </w:numPr>
        <w:ind w:left="720"/>
        <w:jc w:val="both"/>
        <w:rPr>
          <w:rFonts w:ascii="Arial" w:hAnsi="Arial" w:cs="Arial"/>
          <w:sz w:val="22"/>
          <w:szCs w:val="22"/>
        </w:rPr>
      </w:pPr>
      <w:r>
        <w:rPr>
          <w:rFonts w:ascii="Arial" w:hAnsi="Arial" w:cs="Arial"/>
          <w:sz w:val="22"/>
          <w:szCs w:val="22"/>
        </w:rPr>
        <w:t>After the charge is verified through receipt of sales drafts</w:t>
      </w:r>
      <w:r w:rsidR="00C75C68">
        <w:rPr>
          <w:rFonts w:ascii="Arial" w:hAnsi="Arial" w:cs="Arial"/>
          <w:sz w:val="22"/>
          <w:szCs w:val="22"/>
        </w:rPr>
        <w:t>,</w:t>
      </w:r>
      <w:r>
        <w:rPr>
          <w:rFonts w:ascii="Arial" w:hAnsi="Arial" w:cs="Arial"/>
          <w:sz w:val="22"/>
          <w:szCs w:val="22"/>
        </w:rPr>
        <w:t xml:space="preserve"> the chargeback will be reversed and the funds will be deposited back to the agency. </w:t>
      </w:r>
    </w:p>
    <w:p w14:paraId="6787E724" w14:textId="473452D2" w:rsidR="0067645A" w:rsidRDefault="0067645A" w:rsidP="00C9766B">
      <w:pPr>
        <w:pStyle w:val="ListParagraph"/>
        <w:numPr>
          <w:ilvl w:val="0"/>
          <w:numId w:val="35"/>
        </w:numPr>
        <w:ind w:left="720"/>
        <w:jc w:val="both"/>
        <w:rPr>
          <w:rFonts w:ascii="Arial" w:hAnsi="Arial" w:cs="Arial"/>
          <w:sz w:val="22"/>
          <w:szCs w:val="22"/>
        </w:rPr>
      </w:pPr>
      <w:r>
        <w:rPr>
          <w:rFonts w:ascii="Arial" w:hAnsi="Arial" w:cs="Arial"/>
          <w:sz w:val="22"/>
          <w:szCs w:val="22"/>
        </w:rPr>
        <w:t>In the event the issuing financial institution reviews the documentation and agrees with the customer</w:t>
      </w:r>
      <w:r w:rsidR="00C75C68">
        <w:rPr>
          <w:rFonts w:ascii="Arial" w:hAnsi="Arial" w:cs="Arial"/>
          <w:sz w:val="22"/>
          <w:szCs w:val="22"/>
        </w:rPr>
        <w:t>,</w:t>
      </w:r>
      <w:r>
        <w:rPr>
          <w:rFonts w:ascii="Arial" w:hAnsi="Arial" w:cs="Arial"/>
          <w:sz w:val="22"/>
          <w:szCs w:val="22"/>
        </w:rPr>
        <w:t xml:space="preserve"> a second chargeback will be issued to recoup the funds and the case will be closed.  The agency is notified of the chargeback and can handle collection of funds as they see fit.</w:t>
      </w:r>
    </w:p>
    <w:p w14:paraId="63BB3A06" w14:textId="77777777" w:rsidR="0067645A" w:rsidRDefault="0067645A" w:rsidP="00C9766B">
      <w:pPr>
        <w:jc w:val="both"/>
        <w:rPr>
          <w:rFonts w:ascii="Arial" w:hAnsi="Arial" w:cs="Arial"/>
          <w:sz w:val="22"/>
          <w:szCs w:val="22"/>
        </w:rPr>
      </w:pPr>
      <w:r>
        <w:rPr>
          <w:rFonts w:ascii="Arial" w:hAnsi="Arial" w:cs="Arial"/>
          <w:sz w:val="22"/>
          <w:szCs w:val="22"/>
        </w:rPr>
        <w:t xml:space="preserve">Note: The chargeback process could take up to 60 days to resolve. </w:t>
      </w:r>
    </w:p>
    <w:p w14:paraId="20ADF23D" w14:textId="77777777" w:rsidR="0067645A" w:rsidRDefault="0067645A" w:rsidP="00C9766B">
      <w:pPr>
        <w:pStyle w:val="Default"/>
        <w:jc w:val="both"/>
        <w:rPr>
          <w:rFonts w:ascii="Arial" w:hAnsi="Arial" w:cs="Arial"/>
          <w:sz w:val="22"/>
          <w:szCs w:val="22"/>
          <w:u w:val="single"/>
        </w:rPr>
      </w:pPr>
      <w:r>
        <w:rPr>
          <w:rFonts w:ascii="Arial" w:hAnsi="Arial" w:cs="Arial"/>
          <w:sz w:val="22"/>
          <w:szCs w:val="22"/>
          <w:u w:val="single"/>
        </w:rPr>
        <w:t>Returns</w:t>
      </w:r>
    </w:p>
    <w:p w14:paraId="4C32E3E1" w14:textId="63B2E849" w:rsidR="0067645A" w:rsidRDefault="0067645A" w:rsidP="00C9766B">
      <w:pPr>
        <w:jc w:val="both"/>
        <w:rPr>
          <w:rFonts w:ascii="Arial" w:hAnsi="Arial" w:cs="Arial"/>
          <w:sz w:val="22"/>
          <w:szCs w:val="22"/>
        </w:rPr>
      </w:pPr>
      <w:r>
        <w:rPr>
          <w:rFonts w:ascii="Arial" w:eastAsia="Times New Roman" w:hAnsi="Arial" w:cs="Arial"/>
          <w:sz w:val="22"/>
          <w:szCs w:val="22"/>
        </w:rPr>
        <w:t>Electronic checks (</w:t>
      </w:r>
      <w:proofErr w:type="spellStart"/>
      <w:r>
        <w:rPr>
          <w:rFonts w:ascii="Arial" w:eastAsia="Times New Roman" w:hAnsi="Arial" w:cs="Arial"/>
          <w:sz w:val="22"/>
          <w:szCs w:val="22"/>
        </w:rPr>
        <w:t>echeck</w:t>
      </w:r>
      <w:proofErr w:type="spellEnd"/>
      <w:r>
        <w:rPr>
          <w:rFonts w:ascii="Arial" w:eastAsia="Times New Roman" w:hAnsi="Arial" w:cs="Arial"/>
          <w:sz w:val="22"/>
          <w:szCs w:val="22"/>
        </w:rPr>
        <w:t>)/ACH payments (where a user enters an account and routing number) may be returned unpaid for any reason, including non-sufficient funds (NSF), stop payment, online data entry error</w:t>
      </w:r>
      <w:r w:rsidR="00C75C68">
        <w:rPr>
          <w:rFonts w:ascii="Arial" w:eastAsia="Times New Roman" w:hAnsi="Arial" w:cs="Arial"/>
          <w:sz w:val="22"/>
          <w:szCs w:val="22"/>
        </w:rPr>
        <w:t>,</w:t>
      </w:r>
      <w:r>
        <w:rPr>
          <w:rFonts w:ascii="Arial" w:eastAsia="Times New Roman" w:hAnsi="Arial" w:cs="Arial"/>
          <w:sz w:val="22"/>
          <w:szCs w:val="22"/>
        </w:rPr>
        <w:t xml:space="preserve"> or closed account.  A full list of return codes is listed below:</w:t>
      </w:r>
    </w:p>
    <w:p w14:paraId="575D00C9" w14:textId="77777777"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R01 - Insufficient Funds - Available balance is not sufficient to cover the dollar value of the debit entry.</w:t>
      </w:r>
    </w:p>
    <w:p w14:paraId="25F3F4E4" w14:textId="77777777"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R02 - Account Closed - Previously active account has been closed by customer or RDFI.</w:t>
      </w:r>
    </w:p>
    <w:p w14:paraId="1B068873" w14:textId="3D5A0CB1"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R03 - No Account/Unable to Locate Account - Account number structure is valid and passes editing process but does not correspond to individual or is not an open account.</w:t>
      </w:r>
    </w:p>
    <w:p w14:paraId="64AD7167" w14:textId="77777777"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R04 - Invalid Account Number - Account number structure not valid; entry may fail check digit validation or may contain an incorrect number of digits.</w:t>
      </w:r>
    </w:p>
    <w:p w14:paraId="6CE45D26" w14:textId="77777777"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R05 - Improper Debit to Consumer Account - A CCD, CTX, or CBR debit entry was transmitted to a Consumer Account of the Receiver and was not authorized by the Receiver.</w:t>
      </w:r>
    </w:p>
    <w:p w14:paraId="0FD667C1" w14:textId="77777777"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 xml:space="preserve">R06 - Returned per ODFI's Request - ODFI has requested RDFI to return the ACH entry (optional </w:t>
      </w:r>
      <w:r>
        <w:rPr>
          <w:rFonts w:ascii="Arial" w:hAnsi="Arial" w:cs="Arial"/>
          <w:sz w:val="22"/>
          <w:szCs w:val="22"/>
        </w:rPr>
        <w:lastRenderedPageBreak/>
        <w:t>to RDFI – ODFI indemnifies RDFI).</w:t>
      </w:r>
    </w:p>
    <w:p w14:paraId="2F570EC9" w14:textId="77777777"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R07 - Authorization Revoked by Customer - Consumer, who previously authorized ACH payment, has revoked authorization from Originator (must be returned no later than 60 days from settlement date and customer must sign affidavit).</w:t>
      </w:r>
    </w:p>
    <w:p w14:paraId="39DF0D49" w14:textId="42A5CA4D"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 xml:space="preserve">R08 - Payment Stopped - Receiver of a recurring debit transaction has stopped payment to a specific ACH debit. RDFI should verify the Receiver's intent when a request for stop payment is made to </w:t>
      </w:r>
      <w:r w:rsidR="00345452">
        <w:rPr>
          <w:rFonts w:ascii="Arial" w:hAnsi="Arial" w:cs="Arial"/>
          <w:sz w:val="22"/>
          <w:szCs w:val="22"/>
        </w:rPr>
        <w:t>ensure</w:t>
      </w:r>
      <w:r>
        <w:rPr>
          <w:rFonts w:ascii="Arial" w:hAnsi="Arial" w:cs="Arial"/>
          <w:sz w:val="22"/>
          <w:szCs w:val="22"/>
        </w:rPr>
        <w:t xml:space="preserve"> this is not intended to be a revocation of authorization.</w:t>
      </w:r>
    </w:p>
    <w:p w14:paraId="3D0D824F" w14:textId="77777777"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R09 - Uncollected Funds - Sufficient book or ledger balance exists to satisfy dollar value of the transaction, but the dollar value of transaction is in process of collection (i.e., uncollected checks) or cash reserve balance below dollar value of the debit entry.</w:t>
      </w:r>
    </w:p>
    <w:p w14:paraId="4A4CF3E7" w14:textId="77777777"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R10 - Customer Advises Not Authorized - Consumer has advised RDFI that Originator of transaction is not authorized to debit account (must be returned no later than 60 days from settlement date of original entry and customer must sign affidavit).</w:t>
      </w:r>
    </w:p>
    <w:p w14:paraId="0535D1A5" w14:textId="77777777"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R11 - Check Truncation Entry Returned - used when returning a check safekeeping entry; RDFI should use appropriate field in addenda record to specify reason for return (i.e., "exceeds dollar limit," "stale date," etc.).</w:t>
      </w:r>
    </w:p>
    <w:p w14:paraId="7CB8498E" w14:textId="77777777" w:rsidR="0067645A" w:rsidRDefault="0067645A" w:rsidP="00C9766B">
      <w:pPr>
        <w:pStyle w:val="ListParagraph"/>
        <w:widowControl w:val="0"/>
        <w:numPr>
          <w:ilvl w:val="0"/>
          <w:numId w:val="36"/>
        </w:numPr>
        <w:autoSpaceDE w:val="0"/>
        <w:autoSpaceDN w:val="0"/>
        <w:adjustRightInd w:val="0"/>
        <w:spacing w:after="0"/>
        <w:jc w:val="both"/>
        <w:rPr>
          <w:rFonts w:ascii="Arial" w:hAnsi="Arial" w:cs="Arial"/>
          <w:sz w:val="22"/>
          <w:szCs w:val="22"/>
        </w:rPr>
      </w:pPr>
      <w:r>
        <w:rPr>
          <w:rFonts w:ascii="Arial" w:hAnsi="Arial" w:cs="Arial"/>
          <w:sz w:val="22"/>
          <w:szCs w:val="22"/>
        </w:rPr>
        <w:t>R12 - Branch Sold to Another DFI - Financial institution receives entry destined for an account at a branch that has been sold to another financial institution.</w:t>
      </w:r>
    </w:p>
    <w:p w14:paraId="44EAC9A4" w14:textId="77777777" w:rsidR="0067645A" w:rsidRDefault="0067645A" w:rsidP="00C9766B">
      <w:pPr>
        <w:pStyle w:val="Heading2"/>
        <w:jc w:val="both"/>
        <w:rPr>
          <w:rFonts w:ascii="Arial" w:hAnsi="Arial" w:cs="Arial"/>
          <w:b w:val="0"/>
          <w:color w:val="auto"/>
          <w:sz w:val="22"/>
          <w:szCs w:val="22"/>
        </w:rPr>
      </w:pPr>
      <w:r>
        <w:rPr>
          <w:rFonts w:ascii="Arial" w:hAnsi="Arial" w:cs="Arial"/>
          <w:b w:val="0"/>
          <w:color w:val="auto"/>
          <w:sz w:val="22"/>
          <w:szCs w:val="22"/>
        </w:rPr>
        <w:t>Typical Return Process</w:t>
      </w:r>
    </w:p>
    <w:p w14:paraId="7E46788F" w14:textId="77777777" w:rsidR="0067645A" w:rsidRDefault="0067645A" w:rsidP="00C9766B">
      <w:pPr>
        <w:pStyle w:val="ListParagraph"/>
        <w:numPr>
          <w:ilvl w:val="0"/>
          <w:numId w:val="37"/>
        </w:numPr>
        <w:jc w:val="both"/>
        <w:rPr>
          <w:rFonts w:ascii="Arial" w:hAnsi="Arial" w:cs="Arial"/>
          <w:sz w:val="22"/>
          <w:szCs w:val="22"/>
        </w:rPr>
      </w:pPr>
      <w:r>
        <w:rPr>
          <w:rFonts w:ascii="Arial" w:hAnsi="Arial" w:cs="Arial"/>
          <w:sz w:val="22"/>
          <w:szCs w:val="22"/>
        </w:rPr>
        <w:t xml:space="preserve">User enters </w:t>
      </w:r>
      <w:proofErr w:type="spellStart"/>
      <w:r>
        <w:rPr>
          <w:rFonts w:ascii="Arial" w:hAnsi="Arial" w:cs="Arial"/>
          <w:sz w:val="22"/>
          <w:szCs w:val="22"/>
        </w:rPr>
        <w:t>echeck</w:t>
      </w:r>
      <w:proofErr w:type="spellEnd"/>
      <w:r>
        <w:rPr>
          <w:rFonts w:ascii="Arial" w:hAnsi="Arial" w:cs="Arial"/>
          <w:sz w:val="22"/>
          <w:szCs w:val="22"/>
        </w:rPr>
        <w:t xml:space="preserve"> information in the ms.gov common checkout page</w:t>
      </w:r>
    </w:p>
    <w:p w14:paraId="708BF9F0" w14:textId="77777777" w:rsidR="0067645A" w:rsidRDefault="0067645A" w:rsidP="00C9766B">
      <w:pPr>
        <w:pStyle w:val="ListParagraph"/>
        <w:numPr>
          <w:ilvl w:val="0"/>
          <w:numId w:val="37"/>
        </w:numPr>
        <w:jc w:val="both"/>
        <w:rPr>
          <w:rFonts w:ascii="Arial" w:hAnsi="Arial" w:cs="Arial"/>
          <w:sz w:val="22"/>
          <w:szCs w:val="22"/>
        </w:rPr>
      </w:pPr>
      <w:r>
        <w:rPr>
          <w:rFonts w:ascii="Arial" w:hAnsi="Arial" w:cs="Arial"/>
          <w:sz w:val="22"/>
          <w:szCs w:val="22"/>
        </w:rPr>
        <w:t xml:space="preserve">TPE captures the information and </w:t>
      </w:r>
      <w:proofErr w:type="gramStart"/>
      <w:r>
        <w:rPr>
          <w:rFonts w:ascii="Arial" w:hAnsi="Arial" w:cs="Arial"/>
          <w:sz w:val="22"/>
          <w:szCs w:val="22"/>
        </w:rPr>
        <w:t>sends</w:t>
      </w:r>
      <w:proofErr w:type="gramEnd"/>
      <w:r>
        <w:rPr>
          <w:rFonts w:ascii="Arial" w:hAnsi="Arial" w:cs="Arial"/>
          <w:sz w:val="22"/>
          <w:szCs w:val="22"/>
        </w:rPr>
        <w:t xml:space="preserve"> to payment service provider</w:t>
      </w:r>
    </w:p>
    <w:p w14:paraId="45004CEC" w14:textId="77777777" w:rsidR="0067645A" w:rsidRDefault="0067645A" w:rsidP="00C9766B">
      <w:pPr>
        <w:pStyle w:val="ListParagraph"/>
        <w:numPr>
          <w:ilvl w:val="0"/>
          <w:numId w:val="37"/>
        </w:numPr>
        <w:jc w:val="both"/>
        <w:rPr>
          <w:rFonts w:ascii="Arial" w:hAnsi="Arial" w:cs="Arial"/>
          <w:sz w:val="22"/>
          <w:szCs w:val="22"/>
        </w:rPr>
      </w:pPr>
      <w:r>
        <w:rPr>
          <w:rFonts w:ascii="Arial" w:hAnsi="Arial" w:cs="Arial"/>
          <w:sz w:val="22"/>
          <w:szCs w:val="22"/>
        </w:rPr>
        <w:t>The service provider submits a request to the payer’s bank to retrieve the funds</w:t>
      </w:r>
    </w:p>
    <w:p w14:paraId="3793C065" w14:textId="77777777" w:rsidR="0067645A" w:rsidRDefault="0067645A" w:rsidP="00C9766B">
      <w:pPr>
        <w:pStyle w:val="ListParagraph"/>
        <w:numPr>
          <w:ilvl w:val="0"/>
          <w:numId w:val="37"/>
        </w:numPr>
        <w:jc w:val="both"/>
        <w:rPr>
          <w:rFonts w:ascii="Arial" w:hAnsi="Arial" w:cs="Arial"/>
          <w:sz w:val="22"/>
          <w:szCs w:val="22"/>
        </w:rPr>
      </w:pPr>
      <w:r>
        <w:rPr>
          <w:rFonts w:ascii="Arial" w:hAnsi="Arial" w:cs="Arial"/>
          <w:sz w:val="22"/>
          <w:szCs w:val="22"/>
        </w:rPr>
        <w:t>Payer’s bank reports back one of the aforementioned return codes to the services provider</w:t>
      </w:r>
    </w:p>
    <w:p w14:paraId="3A48A12F" w14:textId="77777777" w:rsidR="0067645A" w:rsidRDefault="0067645A" w:rsidP="00C9766B">
      <w:pPr>
        <w:pStyle w:val="ListParagraph"/>
        <w:numPr>
          <w:ilvl w:val="0"/>
          <w:numId w:val="37"/>
        </w:numPr>
        <w:jc w:val="both"/>
        <w:rPr>
          <w:rFonts w:ascii="Arial" w:hAnsi="Arial" w:cs="Arial"/>
          <w:sz w:val="22"/>
          <w:szCs w:val="22"/>
        </w:rPr>
      </w:pPr>
      <w:r>
        <w:rPr>
          <w:rFonts w:ascii="Arial" w:hAnsi="Arial" w:cs="Arial"/>
          <w:sz w:val="22"/>
          <w:szCs w:val="22"/>
        </w:rPr>
        <w:t>Service provider notifies Tyler MS and the return is marked in TPE</w:t>
      </w:r>
    </w:p>
    <w:p w14:paraId="0F5C4E49" w14:textId="77777777" w:rsidR="0067645A" w:rsidRDefault="0067645A" w:rsidP="00C9766B">
      <w:pPr>
        <w:pStyle w:val="ListParagraph"/>
        <w:numPr>
          <w:ilvl w:val="0"/>
          <w:numId w:val="37"/>
        </w:numPr>
        <w:jc w:val="both"/>
        <w:rPr>
          <w:rFonts w:ascii="Arial" w:hAnsi="Arial" w:cs="Arial"/>
          <w:sz w:val="22"/>
          <w:szCs w:val="22"/>
        </w:rPr>
      </w:pPr>
      <w:r>
        <w:rPr>
          <w:rFonts w:ascii="Arial" w:hAnsi="Arial" w:cs="Arial"/>
          <w:sz w:val="22"/>
          <w:szCs w:val="22"/>
        </w:rPr>
        <w:t>Funds are electronically pulled from the agency through the daily MAGIC payment interface file. Tyler MS contacts the individual(s) responsible for agency funds (contact obtained during project initiation) by email to let them know of the return and reason. From there, the agency can handle collection of funds as they see fit.</w:t>
      </w:r>
    </w:p>
    <w:p w14:paraId="50270B95" w14:textId="77777777" w:rsidR="00D93A55" w:rsidRDefault="0067645A" w:rsidP="00FD5982">
      <w:pPr>
        <w:spacing w:after="0"/>
        <w:jc w:val="both"/>
        <w:rPr>
          <w:rFonts w:ascii="Arial" w:hAnsi="Arial" w:cs="Arial"/>
          <w:b/>
          <w:bCs/>
          <w:sz w:val="22"/>
          <w:szCs w:val="22"/>
        </w:rPr>
      </w:pPr>
      <w:r>
        <w:rPr>
          <w:rFonts w:ascii="Arial" w:hAnsi="Arial" w:cs="Arial"/>
          <w:b/>
          <w:bCs/>
          <w:sz w:val="22"/>
          <w:szCs w:val="22"/>
        </w:rPr>
        <w:t xml:space="preserve">Hardware Acquisition </w:t>
      </w:r>
    </w:p>
    <w:p w14:paraId="63340190" w14:textId="6D4ECA4E" w:rsidR="0067645A" w:rsidRDefault="0067645A" w:rsidP="00C9766B">
      <w:pPr>
        <w:jc w:val="both"/>
        <w:rPr>
          <w:rFonts w:ascii="Arial" w:hAnsi="Arial" w:cs="Arial"/>
          <w:b/>
          <w:bCs/>
          <w:sz w:val="22"/>
          <w:szCs w:val="22"/>
        </w:rPr>
      </w:pPr>
      <w:r>
        <w:rPr>
          <w:rFonts w:ascii="Arial" w:hAnsi="Arial" w:cs="Arial"/>
          <w:sz w:val="22"/>
          <w:szCs w:val="22"/>
        </w:rPr>
        <w:t xml:space="preserve">Due to the payment key injections required for hardware to be compatible with Tyler MS’ PCI compliant payment processor, any hardware must be acquired through Tyler MS’ existing </w:t>
      </w:r>
      <w:proofErr w:type="spellStart"/>
      <w:r>
        <w:rPr>
          <w:rFonts w:ascii="Arial" w:hAnsi="Arial" w:cs="Arial"/>
          <w:sz w:val="22"/>
          <w:szCs w:val="22"/>
        </w:rPr>
        <w:t>eGov</w:t>
      </w:r>
      <w:proofErr w:type="spellEnd"/>
      <w:r>
        <w:rPr>
          <w:rFonts w:ascii="Arial" w:hAnsi="Arial" w:cs="Arial"/>
          <w:sz w:val="22"/>
          <w:szCs w:val="22"/>
        </w:rPr>
        <w:t xml:space="preserve"> contract. This includes, but is not limited to, kiosks, pin pad/card swipe, mobile devices, etc.</w:t>
      </w:r>
    </w:p>
    <w:p w14:paraId="5D2CD03F" w14:textId="621D81B5" w:rsidR="0067645A" w:rsidRDefault="0067645A" w:rsidP="00D93A55">
      <w:pPr>
        <w:spacing w:after="0"/>
        <w:jc w:val="both"/>
        <w:rPr>
          <w:rFonts w:ascii="Arial" w:hAnsi="Arial" w:cs="Arial"/>
          <w:b/>
          <w:bCs/>
          <w:sz w:val="22"/>
          <w:szCs w:val="22"/>
        </w:rPr>
      </w:pPr>
      <w:r>
        <w:rPr>
          <w:rFonts w:ascii="Arial" w:hAnsi="Arial" w:cs="Arial"/>
          <w:b/>
          <w:bCs/>
          <w:sz w:val="22"/>
          <w:szCs w:val="22"/>
        </w:rPr>
        <w:t>Devices Client</w:t>
      </w:r>
    </w:p>
    <w:p w14:paraId="1B3DE00C" w14:textId="77777777" w:rsidR="0067645A" w:rsidRDefault="0067645A" w:rsidP="00C9766B">
      <w:pPr>
        <w:spacing w:after="0"/>
        <w:jc w:val="both"/>
        <w:rPr>
          <w:rFonts w:ascii="Arial" w:hAnsi="Arial" w:cs="Arial"/>
          <w:sz w:val="22"/>
          <w:szCs w:val="22"/>
        </w:rPr>
      </w:pPr>
      <w:r>
        <w:rPr>
          <w:rFonts w:ascii="Arial" w:hAnsi="Arial" w:cs="Arial"/>
          <w:sz w:val="22"/>
          <w:szCs w:val="22"/>
        </w:rPr>
        <w:t>Devices Client allows the calling application to send the order information to Devices Client which will then interact with the payment device, add payment information to the order, and pass the order to the back end for processing. This will allow the calling application to be removed from PCI scope as none of the payment information will be passed through it. It will also allow for easier EMV integrations for new services since the EMV flow has already been certified and will only need to do regression tests for new certification.</w:t>
      </w:r>
    </w:p>
    <w:p w14:paraId="2FC8FA10" w14:textId="65E07F39" w:rsidR="0067645A" w:rsidRDefault="0067645A" w:rsidP="00C9766B">
      <w:pPr>
        <w:jc w:val="both"/>
      </w:pPr>
      <w:r>
        <w:rPr>
          <w:noProof/>
        </w:rPr>
        <w:lastRenderedPageBreak/>
        <w:drawing>
          <wp:inline distT="0" distB="0" distL="0" distR="0" wp14:anchorId="1BFD8E09" wp14:editId="3AB90F5F">
            <wp:extent cx="5615940" cy="1722120"/>
            <wp:effectExtent l="0" t="0" r="3810" b="0"/>
            <wp:docPr id="759423656"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23656" name="Picture 3"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5940" cy="1722120"/>
                    </a:xfrm>
                    <a:prstGeom prst="rect">
                      <a:avLst/>
                    </a:prstGeom>
                    <a:noFill/>
                    <a:ln>
                      <a:noFill/>
                    </a:ln>
                  </pic:spPr>
                </pic:pic>
              </a:graphicData>
            </a:graphic>
          </wp:inline>
        </w:drawing>
      </w:r>
    </w:p>
    <w:p w14:paraId="7C1074DA" w14:textId="77777777" w:rsidR="00D93A55" w:rsidRDefault="0067645A" w:rsidP="00D93A55">
      <w:pPr>
        <w:pStyle w:val="NoSpacing"/>
        <w:jc w:val="both"/>
        <w:rPr>
          <w:rFonts w:ascii="Arial" w:hAnsi="Arial" w:cs="Arial"/>
          <w:b/>
          <w:bCs/>
          <w:sz w:val="22"/>
          <w:szCs w:val="22"/>
        </w:rPr>
      </w:pPr>
      <w:r>
        <w:rPr>
          <w:rFonts w:ascii="Arial" w:hAnsi="Arial" w:cs="Arial"/>
          <w:b/>
          <w:bCs/>
          <w:sz w:val="22"/>
          <w:szCs w:val="22"/>
        </w:rPr>
        <w:t>Application Testing</w:t>
      </w:r>
    </w:p>
    <w:p w14:paraId="4C2DF926" w14:textId="139A2493" w:rsidR="0067645A" w:rsidRDefault="0067645A" w:rsidP="00C9766B">
      <w:pPr>
        <w:pStyle w:val="NoSpacing"/>
        <w:jc w:val="both"/>
        <w:rPr>
          <w:rFonts w:ascii="Arial" w:hAnsi="Arial" w:cs="Arial"/>
          <w:sz w:val="22"/>
          <w:szCs w:val="22"/>
        </w:rPr>
      </w:pPr>
      <w:r>
        <w:rPr>
          <w:rFonts w:ascii="Arial" w:hAnsi="Arial" w:cs="Arial"/>
          <w:sz w:val="22"/>
          <w:szCs w:val="22"/>
        </w:rPr>
        <w:t>For all new services</w:t>
      </w:r>
      <w:r w:rsidR="005C1067">
        <w:rPr>
          <w:rFonts w:ascii="Arial" w:hAnsi="Arial" w:cs="Arial"/>
          <w:sz w:val="22"/>
          <w:szCs w:val="22"/>
        </w:rPr>
        <w:t>,</w:t>
      </w:r>
      <w:r>
        <w:rPr>
          <w:rFonts w:ascii="Arial" w:hAnsi="Arial" w:cs="Arial"/>
          <w:sz w:val="22"/>
          <w:szCs w:val="22"/>
        </w:rPr>
        <w:t xml:space="preserve"> DFA requires a test transaction to be run for flow of funds and processor verification. After Tyler MS receives confirmation the awarded vendor is satisfied with the integration, one test must be run through production TPE and confirmed by Tyler MS.</w:t>
      </w:r>
    </w:p>
    <w:p w14:paraId="1ABC0FA2" w14:textId="77777777" w:rsidR="0067645A" w:rsidRDefault="0067645A" w:rsidP="00C9766B">
      <w:pPr>
        <w:pStyle w:val="NoSpacing"/>
        <w:jc w:val="both"/>
        <w:rPr>
          <w:rFonts w:ascii="Arial" w:hAnsi="Arial" w:cs="Arial"/>
          <w:sz w:val="22"/>
          <w:szCs w:val="22"/>
        </w:rPr>
      </w:pPr>
      <w:r>
        <w:rPr>
          <w:rFonts w:ascii="Arial" w:hAnsi="Arial" w:cs="Arial"/>
          <w:sz w:val="22"/>
          <w:szCs w:val="22"/>
        </w:rPr>
        <w:br/>
        <w:t xml:space="preserve">It takes three (3) business days (excluding bank holidays) for the transaction to be confirmed by DFA.  Awarded vendor should take this time frame into consideration when anticipating launch date. </w:t>
      </w:r>
      <w:r>
        <w:rPr>
          <w:rFonts w:ascii="Arial" w:hAnsi="Arial" w:cs="Arial"/>
          <w:sz w:val="22"/>
          <w:szCs w:val="22"/>
        </w:rPr>
        <w:br/>
      </w:r>
    </w:p>
    <w:p w14:paraId="45410458" w14:textId="77777777" w:rsidR="00D93A55" w:rsidRDefault="0067645A" w:rsidP="00FD5982">
      <w:pPr>
        <w:autoSpaceDE w:val="0"/>
        <w:autoSpaceDN w:val="0"/>
        <w:adjustRightInd w:val="0"/>
        <w:spacing w:after="0"/>
        <w:jc w:val="both"/>
        <w:rPr>
          <w:rFonts w:ascii="Arial" w:hAnsi="Arial" w:cs="Arial"/>
          <w:b/>
          <w:bCs/>
          <w:sz w:val="22"/>
          <w:szCs w:val="22"/>
        </w:rPr>
      </w:pPr>
      <w:r>
        <w:rPr>
          <w:rFonts w:ascii="Arial" w:hAnsi="Arial" w:cs="Arial"/>
          <w:b/>
          <w:bCs/>
          <w:sz w:val="22"/>
          <w:szCs w:val="22"/>
        </w:rPr>
        <w:t>Reporting</w:t>
      </w:r>
    </w:p>
    <w:p w14:paraId="3BB071C0" w14:textId="1B79E270" w:rsidR="0067645A" w:rsidRDefault="0067645A" w:rsidP="00C9766B">
      <w:pPr>
        <w:autoSpaceDE w:val="0"/>
        <w:autoSpaceDN w:val="0"/>
        <w:adjustRightInd w:val="0"/>
        <w:jc w:val="both"/>
        <w:rPr>
          <w:rFonts w:ascii="Arial" w:hAnsi="Arial" w:cs="Arial"/>
          <w:sz w:val="22"/>
          <w:szCs w:val="22"/>
        </w:rPr>
      </w:pPr>
      <w:r>
        <w:rPr>
          <w:rFonts w:ascii="Arial" w:hAnsi="Arial" w:cs="Arial"/>
          <w:sz w:val="22"/>
          <w:szCs w:val="22"/>
        </w:rPr>
        <w:t xml:space="preserve">TPE provides reporting and auditing tools useful for streamlining and accommodating various back-office procedures. TPE’s financial reporting is comprehensive, flexible, and robust. Within TPE all payment processing data is made available via a wide variety of reporting features. Reports are real-time, up-to-the-minute transaction </w:t>
      </w:r>
      <w:proofErr w:type="gramStart"/>
      <w:r>
        <w:rPr>
          <w:rFonts w:ascii="Arial" w:hAnsi="Arial" w:cs="Arial"/>
          <w:sz w:val="22"/>
          <w:szCs w:val="22"/>
        </w:rPr>
        <w:t>reporting</w:t>
      </w:r>
      <w:proofErr w:type="gramEnd"/>
      <w:r>
        <w:rPr>
          <w:rFonts w:ascii="Arial" w:hAnsi="Arial" w:cs="Arial"/>
          <w:sz w:val="22"/>
          <w:szCs w:val="22"/>
        </w:rPr>
        <w:t xml:space="preserve"> ranging from summary reports to detail reports showing line-item level data.  A comprehensive users guide and applicable training will be provided to agency contacts during integration.  </w:t>
      </w:r>
    </w:p>
    <w:p w14:paraId="67AFCCC2" w14:textId="77777777" w:rsidR="00D93A55" w:rsidRDefault="0067645A" w:rsidP="00D93A55">
      <w:pPr>
        <w:pStyle w:val="NoSpacing"/>
        <w:jc w:val="both"/>
        <w:rPr>
          <w:rFonts w:ascii="Arial" w:hAnsi="Arial" w:cs="Arial"/>
          <w:b/>
          <w:bCs/>
          <w:sz w:val="22"/>
          <w:szCs w:val="22"/>
        </w:rPr>
      </w:pPr>
      <w:r>
        <w:rPr>
          <w:rFonts w:ascii="Arial" w:hAnsi="Arial" w:cs="Arial"/>
          <w:b/>
          <w:bCs/>
          <w:sz w:val="22"/>
          <w:szCs w:val="22"/>
        </w:rPr>
        <w:t>Payment Support</w:t>
      </w:r>
    </w:p>
    <w:p w14:paraId="7B08998E" w14:textId="2DF09DA8" w:rsidR="0067645A" w:rsidRDefault="0067645A" w:rsidP="00C9766B">
      <w:pPr>
        <w:pStyle w:val="NoSpacing"/>
        <w:jc w:val="both"/>
        <w:rPr>
          <w:rFonts w:ascii="Arial" w:hAnsi="Arial" w:cs="Arial"/>
          <w:sz w:val="22"/>
          <w:szCs w:val="22"/>
        </w:rPr>
      </w:pPr>
      <w:r>
        <w:rPr>
          <w:rFonts w:ascii="Arial" w:hAnsi="Arial" w:cs="Arial"/>
          <w:sz w:val="22"/>
          <w:szCs w:val="22"/>
        </w:rPr>
        <w:t xml:space="preserve">Tyler MS will provide support for all user payment inquiries. Tyler MS is located at 2727 Old Canton Road, Suite 100, Jackson, Mississippi 39216 and customer payment support is available during normal business hours (Monday – Friday 8:00 a.m.-5:00 p.m. CST). Tyler MS’ toll free support number (1-877-290-9487) is listed on the ms.gov Common Checkout page and is accessible to all users. For payment emergencies a technical support cellular number will be provided to the State contact.  </w:t>
      </w:r>
      <w:r>
        <w:rPr>
          <w:rFonts w:ascii="Arial" w:hAnsi="Arial" w:cs="Arial"/>
          <w:sz w:val="22"/>
          <w:szCs w:val="22"/>
        </w:rPr>
        <w:br/>
      </w:r>
      <w:r>
        <w:rPr>
          <w:rFonts w:ascii="Arial" w:hAnsi="Arial" w:cs="Arial"/>
          <w:sz w:val="22"/>
          <w:szCs w:val="22"/>
        </w:rPr>
        <w:br/>
        <w:t xml:space="preserve">Tyler MS will work directly with the awarded vendor and/or the agencies to identify, report, track, monitor, escalate, and resolve any technical issues with TPE or CCP. It is Tyler MS’ policy to notify all awarded vendors and agencies of planned maintenance windows or system updates to avoid any payment issues.  </w:t>
      </w:r>
    </w:p>
    <w:p w14:paraId="13F7CF61" w14:textId="77777777" w:rsidR="0067645A" w:rsidRDefault="0067645A" w:rsidP="00C9766B">
      <w:pPr>
        <w:pStyle w:val="NoSpacing"/>
        <w:jc w:val="both"/>
        <w:rPr>
          <w:rFonts w:ascii="Arial" w:hAnsi="Arial" w:cs="Arial"/>
          <w:sz w:val="22"/>
          <w:szCs w:val="22"/>
        </w:rPr>
      </w:pPr>
      <w:r>
        <w:rPr>
          <w:rFonts w:ascii="Arial" w:hAnsi="Arial" w:cs="Arial"/>
          <w:sz w:val="22"/>
          <w:szCs w:val="22"/>
        </w:rPr>
        <w:br/>
        <w:t>State entities and/or awarded vendors will not be charged for Tyler MS’ efforts during payment implementation or any training/support.</w:t>
      </w:r>
    </w:p>
    <w:p w14:paraId="45FDBCDE" w14:textId="77777777" w:rsidR="00D93A55" w:rsidRDefault="0067645A" w:rsidP="00FD5982">
      <w:pPr>
        <w:spacing w:after="0"/>
        <w:jc w:val="both"/>
        <w:rPr>
          <w:rFonts w:ascii="Arial" w:hAnsi="Arial" w:cs="Arial"/>
          <w:b/>
          <w:bCs/>
          <w:sz w:val="22"/>
          <w:szCs w:val="22"/>
        </w:rPr>
      </w:pPr>
      <w:r>
        <w:rPr>
          <w:rFonts w:ascii="Arial" w:hAnsi="Arial" w:cs="Arial"/>
          <w:sz w:val="22"/>
          <w:szCs w:val="22"/>
        </w:rPr>
        <w:br/>
      </w:r>
      <w:r>
        <w:rPr>
          <w:rFonts w:ascii="Arial" w:hAnsi="Arial" w:cs="Arial"/>
          <w:b/>
          <w:bCs/>
          <w:sz w:val="22"/>
          <w:szCs w:val="22"/>
        </w:rPr>
        <w:t>Technical Requirements</w:t>
      </w:r>
    </w:p>
    <w:p w14:paraId="1C2CD671" w14:textId="02DD0E00" w:rsidR="0009533B" w:rsidRDefault="0067645A" w:rsidP="00C9766B">
      <w:pPr>
        <w:jc w:val="both"/>
        <w:rPr>
          <w:rFonts w:ascii="Arial" w:hAnsi="Arial" w:cs="Arial"/>
          <w:sz w:val="22"/>
          <w:szCs w:val="22"/>
        </w:rPr>
      </w:pPr>
      <w:r>
        <w:rPr>
          <w:rFonts w:ascii="Arial" w:hAnsi="Arial" w:cs="Arial"/>
          <w:sz w:val="22"/>
          <w:szCs w:val="22"/>
        </w:rPr>
        <w:t xml:space="preserve">Mississippi’s payment solution is designed to provide two methods of integration: </w:t>
      </w:r>
      <w:proofErr w:type="spellStart"/>
      <w:r>
        <w:rPr>
          <w:rFonts w:ascii="Arial" w:hAnsi="Arial" w:cs="Arial"/>
          <w:sz w:val="22"/>
          <w:szCs w:val="22"/>
        </w:rPr>
        <w:t>CommonCheckout</w:t>
      </w:r>
      <w:proofErr w:type="spellEnd"/>
      <w:r>
        <w:rPr>
          <w:rFonts w:ascii="Arial" w:hAnsi="Arial" w:cs="Arial"/>
          <w:sz w:val="22"/>
          <w:szCs w:val="22"/>
        </w:rPr>
        <w:t xml:space="preserve"> (where the customer clicks on a “Pay Now” button and is transferred to a set of common checkout pages branded for ms.gov), and </w:t>
      </w:r>
      <w:proofErr w:type="spellStart"/>
      <w:r>
        <w:rPr>
          <w:rFonts w:ascii="Arial" w:hAnsi="Arial" w:cs="Arial"/>
          <w:sz w:val="22"/>
          <w:szCs w:val="22"/>
        </w:rPr>
        <w:t>DirectConnect</w:t>
      </w:r>
      <w:proofErr w:type="spellEnd"/>
      <w:r>
        <w:rPr>
          <w:rFonts w:ascii="Arial" w:hAnsi="Arial" w:cs="Arial"/>
          <w:sz w:val="22"/>
          <w:szCs w:val="22"/>
        </w:rPr>
        <w:t xml:space="preserve"> (where the application has self-contained checkout pages and will call TPE for verification and capture once all payment information has been entered). In both of these instances, the awarded vendor will utilize standard web service protocols.</w:t>
      </w:r>
    </w:p>
    <w:p w14:paraId="383CD287" w14:textId="756ED2EA" w:rsidR="0009533B" w:rsidRDefault="0067645A" w:rsidP="00C9766B">
      <w:pPr>
        <w:jc w:val="both"/>
        <w:rPr>
          <w:rFonts w:ascii="Arial" w:hAnsi="Arial" w:cs="Arial"/>
          <w:sz w:val="22"/>
          <w:szCs w:val="22"/>
        </w:rPr>
      </w:pPr>
      <w:r>
        <w:rPr>
          <w:rFonts w:ascii="Arial" w:hAnsi="Arial" w:cs="Arial"/>
          <w:sz w:val="22"/>
          <w:szCs w:val="22"/>
        </w:rPr>
        <w:lastRenderedPageBreak/>
        <w:t xml:space="preserve">The </w:t>
      </w:r>
      <w:proofErr w:type="spellStart"/>
      <w:r>
        <w:rPr>
          <w:rFonts w:ascii="Arial" w:hAnsi="Arial" w:cs="Arial"/>
          <w:sz w:val="22"/>
          <w:szCs w:val="22"/>
        </w:rPr>
        <w:t>CommonCheckout</w:t>
      </w:r>
      <w:proofErr w:type="spellEnd"/>
      <w:r>
        <w:rPr>
          <w:rFonts w:ascii="Arial" w:hAnsi="Arial" w:cs="Arial"/>
          <w:sz w:val="22"/>
          <w:szCs w:val="22"/>
        </w:rPr>
        <w:t xml:space="preserve"> integration is required by ITS and DFA. Should special circumstances arise where the </w:t>
      </w:r>
      <w:proofErr w:type="spellStart"/>
      <w:r>
        <w:rPr>
          <w:rFonts w:ascii="Arial" w:hAnsi="Arial" w:cs="Arial"/>
          <w:sz w:val="22"/>
          <w:szCs w:val="22"/>
        </w:rPr>
        <w:t>CommonCheckout</w:t>
      </w:r>
      <w:proofErr w:type="spellEnd"/>
      <w:r>
        <w:rPr>
          <w:rFonts w:ascii="Arial" w:hAnsi="Arial" w:cs="Arial"/>
          <w:sz w:val="22"/>
          <w:szCs w:val="22"/>
        </w:rPr>
        <w:t xml:space="preserve"> is not applicable and/or the </w:t>
      </w:r>
      <w:proofErr w:type="spellStart"/>
      <w:r>
        <w:rPr>
          <w:rFonts w:ascii="Arial" w:hAnsi="Arial" w:cs="Arial"/>
          <w:sz w:val="22"/>
          <w:szCs w:val="22"/>
        </w:rPr>
        <w:t>DirectConnect</w:t>
      </w:r>
      <w:proofErr w:type="spellEnd"/>
      <w:r>
        <w:rPr>
          <w:rFonts w:ascii="Arial" w:hAnsi="Arial" w:cs="Arial"/>
          <w:sz w:val="22"/>
          <w:szCs w:val="22"/>
        </w:rPr>
        <w:t xml:space="preserve"> option is required, approval from both State agencies is mandatory. </w:t>
      </w:r>
    </w:p>
    <w:p w14:paraId="24DB7A35" w14:textId="379E4EB3" w:rsidR="0067645A" w:rsidRDefault="0067645A" w:rsidP="00C9766B">
      <w:pPr>
        <w:jc w:val="both"/>
        <w:rPr>
          <w:rFonts w:ascii="Arial" w:hAnsi="Arial" w:cs="Arial"/>
          <w:sz w:val="22"/>
          <w:szCs w:val="22"/>
        </w:rPr>
      </w:pPr>
      <w:r>
        <w:rPr>
          <w:rFonts w:ascii="Arial" w:hAnsi="Arial" w:cs="Arial"/>
          <w:sz w:val="22"/>
          <w:szCs w:val="22"/>
        </w:rPr>
        <w:t xml:space="preserve">High-level descriptions of the integration requirements are included in this section. For detailed documentation please contact David Campbell, Tyler MS’ Director of Technology, at </w:t>
      </w:r>
      <w:hyperlink r:id="rId13" w:history="1">
        <w:r>
          <w:rPr>
            <w:rStyle w:val="Hyperlink"/>
            <w:rFonts w:ascii="Arial" w:hAnsi="Arial" w:cs="Arial"/>
            <w:sz w:val="22"/>
            <w:szCs w:val="22"/>
          </w:rPr>
          <w:t>david.j.campbell@tylertech.com</w:t>
        </w:r>
      </w:hyperlink>
      <w:r>
        <w:rPr>
          <w:rFonts w:ascii="Arial" w:hAnsi="Arial" w:cs="Arial"/>
          <w:sz w:val="22"/>
          <w:szCs w:val="22"/>
        </w:rPr>
        <w:t xml:space="preserve">. </w:t>
      </w:r>
    </w:p>
    <w:p w14:paraId="0C835705" w14:textId="77777777" w:rsidR="00D93A55" w:rsidRDefault="0067645A" w:rsidP="00D93A55">
      <w:pPr>
        <w:jc w:val="both"/>
        <w:rPr>
          <w:rFonts w:ascii="Arial" w:hAnsi="Arial" w:cs="Arial"/>
          <w:sz w:val="22"/>
          <w:szCs w:val="22"/>
          <w:u w:val="single"/>
        </w:rPr>
      </w:pPr>
      <w:proofErr w:type="spellStart"/>
      <w:r>
        <w:rPr>
          <w:rFonts w:ascii="Arial" w:hAnsi="Arial" w:cs="Arial"/>
          <w:sz w:val="22"/>
          <w:szCs w:val="22"/>
          <w:u w:val="single"/>
        </w:rPr>
        <w:t>CommonCheckout</w:t>
      </w:r>
      <w:proofErr w:type="spellEnd"/>
      <w:r>
        <w:rPr>
          <w:rFonts w:ascii="Arial" w:hAnsi="Arial" w:cs="Arial"/>
          <w:sz w:val="22"/>
          <w:szCs w:val="22"/>
          <w:u w:val="single"/>
        </w:rPr>
        <w:t xml:space="preserve"> (CCP)</w:t>
      </w:r>
    </w:p>
    <w:p w14:paraId="12EBFF0D" w14:textId="4F3E04F7" w:rsidR="0067645A" w:rsidRDefault="0067645A" w:rsidP="00C9766B">
      <w:pPr>
        <w:jc w:val="both"/>
        <w:rPr>
          <w:rFonts w:ascii="Arial" w:hAnsi="Arial" w:cs="Arial"/>
          <w:sz w:val="22"/>
          <w:szCs w:val="22"/>
        </w:rPr>
      </w:pPr>
      <w:r>
        <w:rPr>
          <w:rFonts w:ascii="Arial" w:hAnsi="Arial" w:cs="Arial"/>
          <w:sz w:val="22"/>
          <w:szCs w:val="22"/>
        </w:rPr>
        <w:t xml:space="preserve">When utilizing </w:t>
      </w:r>
      <w:proofErr w:type="spellStart"/>
      <w:r>
        <w:rPr>
          <w:rFonts w:ascii="Arial" w:hAnsi="Arial" w:cs="Arial"/>
          <w:sz w:val="22"/>
          <w:szCs w:val="22"/>
        </w:rPr>
        <w:t>CommonCheckout</w:t>
      </w:r>
      <w:proofErr w:type="spellEnd"/>
      <w:r>
        <w:rPr>
          <w:rFonts w:ascii="Arial" w:hAnsi="Arial" w:cs="Arial"/>
          <w:sz w:val="22"/>
          <w:szCs w:val="22"/>
        </w:rPr>
        <w:t xml:space="preserve">, the calling application is not responsible for collecting </w:t>
      </w:r>
      <w:proofErr w:type="gramStart"/>
      <w:r>
        <w:rPr>
          <w:rFonts w:ascii="Arial" w:hAnsi="Arial" w:cs="Arial"/>
          <w:sz w:val="22"/>
          <w:szCs w:val="22"/>
        </w:rPr>
        <w:t>the credit</w:t>
      </w:r>
      <w:proofErr w:type="gramEnd"/>
      <w:r>
        <w:rPr>
          <w:rFonts w:ascii="Arial" w:hAnsi="Arial" w:cs="Arial"/>
          <w:sz w:val="22"/>
          <w:szCs w:val="22"/>
        </w:rPr>
        <w:t xml:space="preserve"> card or banking information. Instead, the application sends the transaction data to the </w:t>
      </w:r>
      <w:proofErr w:type="spellStart"/>
      <w:r>
        <w:rPr>
          <w:rFonts w:ascii="Arial" w:hAnsi="Arial" w:cs="Arial"/>
          <w:sz w:val="22"/>
          <w:szCs w:val="22"/>
        </w:rPr>
        <w:t>CommonCheckout</w:t>
      </w:r>
      <w:proofErr w:type="spellEnd"/>
      <w:r>
        <w:rPr>
          <w:rFonts w:ascii="Arial" w:hAnsi="Arial" w:cs="Arial"/>
          <w:sz w:val="22"/>
          <w:szCs w:val="22"/>
        </w:rPr>
        <w:t xml:space="preserve"> interface which collects and processes all payment information. The </w:t>
      </w:r>
      <w:proofErr w:type="spellStart"/>
      <w:r>
        <w:rPr>
          <w:rFonts w:ascii="Arial" w:hAnsi="Arial" w:cs="Arial"/>
          <w:sz w:val="22"/>
          <w:szCs w:val="22"/>
        </w:rPr>
        <w:t>CommonCheckout</w:t>
      </w:r>
      <w:proofErr w:type="spellEnd"/>
      <w:r>
        <w:rPr>
          <w:rFonts w:ascii="Arial" w:hAnsi="Arial" w:cs="Arial"/>
          <w:sz w:val="22"/>
          <w:szCs w:val="22"/>
        </w:rPr>
        <w:t xml:space="preserve"> interface will then return to the calling application all transaction status details and information related to the transaction.</w:t>
      </w:r>
    </w:p>
    <w:p w14:paraId="02A44741" w14:textId="77777777" w:rsidR="0067645A" w:rsidRDefault="0067645A" w:rsidP="00C9766B">
      <w:pPr>
        <w:widowControl w:val="0"/>
        <w:autoSpaceDE w:val="0"/>
        <w:autoSpaceDN w:val="0"/>
        <w:adjustRightInd w:val="0"/>
        <w:spacing w:after="0"/>
        <w:jc w:val="both"/>
        <w:rPr>
          <w:rFonts w:ascii="Arial" w:hAnsi="Arial" w:cs="Arial"/>
          <w:color w:val="0B5AB2"/>
          <w:sz w:val="22"/>
          <w:szCs w:val="22"/>
        </w:rPr>
      </w:pPr>
      <w:r>
        <w:rPr>
          <w:rFonts w:ascii="Arial" w:hAnsi="Arial" w:cs="Arial"/>
          <w:sz w:val="22"/>
          <w:szCs w:val="22"/>
          <w:u w:val="single"/>
        </w:rPr>
        <w:t>CCP Option 1</w:t>
      </w:r>
      <w:r>
        <w:rPr>
          <w:rFonts w:ascii="Arial" w:hAnsi="Arial" w:cs="Arial"/>
          <w:sz w:val="22"/>
          <w:szCs w:val="22"/>
        </w:rPr>
        <w:t>:  Server-side Web Service Calls and Browser-side Redirect</w:t>
      </w:r>
    </w:p>
    <w:p w14:paraId="734E3E8F" w14:textId="77777777" w:rsidR="0067645A" w:rsidRDefault="0067645A" w:rsidP="00C9766B">
      <w:pPr>
        <w:widowControl w:val="0"/>
        <w:autoSpaceDE w:val="0"/>
        <w:autoSpaceDN w:val="0"/>
        <w:adjustRightInd w:val="0"/>
        <w:spacing w:after="0"/>
        <w:ind w:left="1920" w:hanging="960"/>
        <w:jc w:val="both"/>
        <w:rPr>
          <w:rFonts w:ascii="Arial" w:hAnsi="Arial" w:cs="Arial"/>
          <w:color w:val="0B5AB2"/>
          <w:sz w:val="22"/>
          <w:szCs w:val="22"/>
        </w:rPr>
      </w:pPr>
    </w:p>
    <w:p w14:paraId="1BC2EBC4" w14:textId="77777777" w:rsidR="0067645A" w:rsidRDefault="0067645A" w:rsidP="00C9766B">
      <w:pPr>
        <w:widowControl w:val="0"/>
        <w:autoSpaceDE w:val="0"/>
        <w:autoSpaceDN w:val="0"/>
        <w:adjustRightInd w:val="0"/>
        <w:spacing w:after="160"/>
        <w:jc w:val="both"/>
        <w:rPr>
          <w:rFonts w:ascii="Arial" w:hAnsi="Arial" w:cs="Arial"/>
          <w:sz w:val="22"/>
          <w:szCs w:val="22"/>
        </w:rPr>
      </w:pPr>
      <w:r>
        <w:rPr>
          <w:rFonts w:ascii="Arial" w:hAnsi="Arial" w:cs="Arial"/>
          <w:sz w:val="22"/>
          <w:szCs w:val="22"/>
        </w:rPr>
        <w:t xml:space="preserve">To initiate a transaction, the partner application is required to invoke the </w:t>
      </w:r>
      <w:proofErr w:type="spellStart"/>
      <w:r>
        <w:rPr>
          <w:rFonts w:ascii="Arial" w:hAnsi="Arial" w:cs="Arial"/>
          <w:sz w:val="22"/>
          <w:szCs w:val="22"/>
        </w:rPr>
        <w:t>PreparePayment</w:t>
      </w:r>
      <w:proofErr w:type="spellEnd"/>
      <w:r>
        <w:rPr>
          <w:rFonts w:ascii="Arial" w:hAnsi="Arial" w:cs="Arial"/>
          <w:sz w:val="22"/>
          <w:szCs w:val="22"/>
        </w:rPr>
        <w:t xml:space="preserve"> method on the Common Checkout web service (</w:t>
      </w:r>
      <w:proofErr w:type="spellStart"/>
      <w:r>
        <w:rPr>
          <w:rFonts w:ascii="Arial" w:hAnsi="Arial" w:cs="Arial"/>
          <w:sz w:val="22"/>
          <w:szCs w:val="22"/>
        </w:rPr>
        <w:t>ReST</w:t>
      </w:r>
      <w:proofErr w:type="spellEnd"/>
      <w:r>
        <w:rPr>
          <w:rFonts w:ascii="Arial" w:hAnsi="Arial" w:cs="Arial"/>
          <w:sz w:val="22"/>
          <w:szCs w:val="22"/>
        </w:rPr>
        <w:t xml:space="preserve"> or SOAP) that is passing along the financial/customer/application information.  </w:t>
      </w:r>
    </w:p>
    <w:p w14:paraId="1FDB7354" w14:textId="77777777" w:rsidR="0067645A" w:rsidRDefault="0067645A" w:rsidP="00C9766B">
      <w:pPr>
        <w:pStyle w:val="ListParagraph"/>
        <w:widowControl w:val="0"/>
        <w:numPr>
          <w:ilvl w:val="0"/>
          <w:numId w:val="38"/>
        </w:numPr>
        <w:autoSpaceDE w:val="0"/>
        <w:autoSpaceDN w:val="0"/>
        <w:adjustRightInd w:val="0"/>
        <w:spacing w:after="160"/>
        <w:jc w:val="both"/>
        <w:rPr>
          <w:rFonts w:ascii="Arial" w:hAnsi="Arial" w:cs="Arial"/>
          <w:sz w:val="22"/>
          <w:szCs w:val="22"/>
        </w:rPr>
      </w:pPr>
      <w:r>
        <w:rPr>
          <w:rFonts w:ascii="Arial" w:hAnsi="Arial" w:cs="Arial"/>
          <w:sz w:val="22"/>
          <w:szCs w:val="22"/>
        </w:rPr>
        <w:t xml:space="preserve">The Web Service operation returns a token back in the SOAP or </w:t>
      </w:r>
      <w:proofErr w:type="spellStart"/>
      <w:r>
        <w:rPr>
          <w:rFonts w:ascii="Arial" w:hAnsi="Arial" w:cs="Arial"/>
          <w:sz w:val="22"/>
          <w:szCs w:val="22"/>
        </w:rPr>
        <w:t>ReST</w:t>
      </w:r>
      <w:proofErr w:type="spellEnd"/>
      <w:r>
        <w:rPr>
          <w:rFonts w:ascii="Arial" w:hAnsi="Arial" w:cs="Arial"/>
          <w:sz w:val="22"/>
          <w:szCs w:val="22"/>
        </w:rPr>
        <w:t xml:space="preserve"> response.  This token allows CCP to recall and process the transaction using the information provided during the </w:t>
      </w:r>
      <w:proofErr w:type="spellStart"/>
      <w:r>
        <w:rPr>
          <w:rFonts w:ascii="Arial" w:hAnsi="Arial" w:cs="Arial"/>
          <w:sz w:val="22"/>
          <w:szCs w:val="22"/>
        </w:rPr>
        <w:t>PreparePayment</w:t>
      </w:r>
      <w:proofErr w:type="spellEnd"/>
      <w:r>
        <w:rPr>
          <w:rFonts w:ascii="Arial" w:hAnsi="Arial" w:cs="Arial"/>
          <w:sz w:val="22"/>
          <w:szCs w:val="22"/>
        </w:rPr>
        <w:t xml:space="preserve"> call. </w:t>
      </w:r>
    </w:p>
    <w:p w14:paraId="40E42F0A" w14:textId="77777777" w:rsidR="0067645A" w:rsidRDefault="0067645A" w:rsidP="00C9766B">
      <w:pPr>
        <w:pStyle w:val="ListParagraph"/>
        <w:widowControl w:val="0"/>
        <w:numPr>
          <w:ilvl w:val="0"/>
          <w:numId w:val="38"/>
        </w:numPr>
        <w:spacing w:after="160"/>
        <w:jc w:val="both"/>
        <w:rPr>
          <w:rFonts w:ascii="Arial" w:hAnsi="Arial" w:cs="Arial"/>
          <w:sz w:val="22"/>
          <w:szCs w:val="22"/>
        </w:rPr>
      </w:pPr>
      <w:r>
        <w:rPr>
          <w:rFonts w:ascii="Arial" w:hAnsi="Arial" w:cs="Arial"/>
          <w:color w:val="000000" w:themeColor="text1"/>
          <w:sz w:val="22"/>
          <w:szCs w:val="22"/>
        </w:rPr>
        <w:t>This token is required as a query string parameter when redirecting the user to CCP for collection and processing of payment information.</w:t>
      </w:r>
    </w:p>
    <w:p w14:paraId="0CED5E17" w14:textId="77777777" w:rsidR="0067645A" w:rsidRDefault="0067645A" w:rsidP="00C9766B">
      <w:pPr>
        <w:pStyle w:val="ListParagraph"/>
        <w:widowControl w:val="0"/>
        <w:numPr>
          <w:ilvl w:val="0"/>
          <w:numId w:val="38"/>
        </w:numPr>
        <w:autoSpaceDE w:val="0"/>
        <w:autoSpaceDN w:val="0"/>
        <w:adjustRightInd w:val="0"/>
        <w:spacing w:after="160"/>
        <w:jc w:val="both"/>
        <w:rPr>
          <w:rFonts w:ascii="Arial" w:hAnsi="Arial" w:cs="Arial"/>
          <w:sz w:val="22"/>
          <w:szCs w:val="22"/>
        </w:rPr>
      </w:pPr>
      <w:r>
        <w:rPr>
          <w:rFonts w:ascii="Arial" w:hAnsi="Arial" w:cs="Arial"/>
          <w:sz w:val="22"/>
          <w:szCs w:val="22"/>
        </w:rPr>
        <w:t>When the customer chooses to continue with the payment by clicking a form button on the partner screen, the browser redirects to the Common Checkout web application. </w:t>
      </w:r>
    </w:p>
    <w:p w14:paraId="093F4877" w14:textId="77777777" w:rsidR="0067645A" w:rsidRDefault="0067645A" w:rsidP="00C9766B">
      <w:pPr>
        <w:pStyle w:val="ListParagraph"/>
        <w:widowControl w:val="0"/>
        <w:numPr>
          <w:ilvl w:val="0"/>
          <w:numId w:val="38"/>
        </w:numPr>
        <w:autoSpaceDE w:val="0"/>
        <w:autoSpaceDN w:val="0"/>
        <w:adjustRightInd w:val="0"/>
        <w:spacing w:after="160"/>
        <w:jc w:val="both"/>
        <w:rPr>
          <w:rFonts w:ascii="Arial" w:hAnsi="Arial" w:cs="Arial"/>
          <w:sz w:val="22"/>
          <w:szCs w:val="22"/>
        </w:rPr>
      </w:pPr>
      <w:r>
        <w:rPr>
          <w:rFonts w:ascii="Arial" w:hAnsi="Arial" w:cs="Arial"/>
          <w:sz w:val="22"/>
          <w:szCs w:val="22"/>
        </w:rPr>
        <w:t>The Common Checkout web application retrieves the customer/financial/application data associated with the token and displays it on the payment page. </w:t>
      </w:r>
    </w:p>
    <w:p w14:paraId="5BCBA1DE" w14:textId="77777777" w:rsidR="0067645A" w:rsidRDefault="0067645A" w:rsidP="00C9766B">
      <w:pPr>
        <w:pStyle w:val="ListParagraph"/>
        <w:widowControl w:val="0"/>
        <w:numPr>
          <w:ilvl w:val="0"/>
          <w:numId w:val="38"/>
        </w:numPr>
        <w:autoSpaceDE w:val="0"/>
        <w:autoSpaceDN w:val="0"/>
        <w:adjustRightInd w:val="0"/>
        <w:spacing w:after="160"/>
        <w:jc w:val="both"/>
        <w:rPr>
          <w:rFonts w:ascii="Arial" w:hAnsi="Arial" w:cs="Arial"/>
          <w:sz w:val="22"/>
          <w:szCs w:val="22"/>
        </w:rPr>
      </w:pPr>
      <w:r>
        <w:rPr>
          <w:rFonts w:ascii="Arial" w:hAnsi="Arial" w:cs="Arial"/>
          <w:sz w:val="22"/>
          <w:szCs w:val="22"/>
        </w:rPr>
        <w:t>Upon submission of the payment, Common Checkout redirects to the partner application or displays a receipt page, based on the configuration.  In the latter case, the redirect to the partner application happens when a customer clicks a button on the receipt screen. </w:t>
      </w:r>
    </w:p>
    <w:p w14:paraId="2E0DBB09" w14:textId="77777777" w:rsidR="0067645A" w:rsidRDefault="0067645A" w:rsidP="00C9766B">
      <w:pPr>
        <w:pStyle w:val="ListParagraph"/>
        <w:widowControl w:val="0"/>
        <w:numPr>
          <w:ilvl w:val="0"/>
          <w:numId w:val="38"/>
        </w:numPr>
        <w:autoSpaceDE w:val="0"/>
        <w:autoSpaceDN w:val="0"/>
        <w:adjustRightInd w:val="0"/>
        <w:spacing w:after="160"/>
        <w:jc w:val="both"/>
        <w:rPr>
          <w:rFonts w:ascii="Arial" w:hAnsi="Arial" w:cs="Arial"/>
          <w:sz w:val="22"/>
          <w:szCs w:val="22"/>
        </w:rPr>
      </w:pPr>
      <w:r>
        <w:rPr>
          <w:rFonts w:ascii="Arial" w:hAnsi="Arial" w:cs="Arial"/>
          <w:sz w:val="22"/>
          <w:szCs w:val="22"/>
        </w:rPr>
        <w:t xml:space="preserve">The partner application is required to </w:t>
      </w:r>
      <w:proofErr w:type="gramStart"/>
      <w:r>
        <w:rPr>
          <w:rFonts w:ascii="Arial" w:hAnsi="Arial" w:cs="Arial"/>
          <w:sz w:val="22"/>
          <w:szCs w:val="22"/>
        </w:rPr>
        <w:t>do</w:t>
      </w:r>
      <w:proofErr w:type="gramEnd"/>
      <w:r>
        <w:rPr>
          <w:rFonts w:ascii="Arial" w:hAnsi="Arial" w:cs="Arial"/>
          <w:sz w:val="22"/>
          <w:szCs w:val="22"/>
        </w:rPr>
        <w:t xml:space="preserve"> a call back to the Query payment web service by sending the token.  The service will return the transaction information back in the SOAP or Rest response.  Optionally, the partner application may receive information about the payment via a ‘</w:t>
      </w:r>
      <w:proofErr w:type="spellStart"/>
      <w:r>
        <w:rPr>
          <w:rFonts w:ascii="Arial" w:hAnsi="Arial" w:cs="Arial"/>
          <w:sz w:val="22"/>
          <w:szCs w:val="22"/>
        </w:rPr>
        <w:t>postback</w:t>
      </w:r>
      <w:proofErr w:type="spellEnd"/>
      <w:r>
        <w:rPr>
          <w:rFonts w:ascii="Arial" w:hAnsi="Arial" w:cs="Arial"/>
          <w:sz w:val="22"/>
          <w:szCs w:val="22"/>
        </w:rPr>
        <w:t>’ message from CCP. These methods ensure the authenticity of the payment.</w:t>
      </w:r>
    </w:p>
    <w:p w14:paraId="5FCD05A2" w14:textId="77777777" w:rsidR="0067645A" w:rsidRDefault="0067645A" w:rsidP="00C9766B">
      <w:pPr>
        <w:widowControl w:val="0"/>
        <w:autoSpaceDE w:val="0"/>
        <w:autoSpaceDN w:val="0"/>
        <w:adjustRightInd w:val="0"/>
        <w:spacing w:after="160"/>
        <w:ind w:firstLine="720"/>
        <w:jc w:val="both"/>
        <w:rPr>
          <w:rFonts w:ascii="Arial" w:hAnsi="Arial" w:cs="Arial"/>
          <w:color w:val="000000"/>
          <w:spacing w:val="-1"/>
          <w:sz w:val="22"/>
          <w:szCs w:val="22"/>
        </w:rPr>
      </w:pPr>
      <w:r>
        <w:rPr>
          <w:rFonts w:ascii="Arial" w:hAnsi="Arial" w:cs="Arial"/>
          <w:color w:val="000000"/>
          <w:sz w:val="22"/>
          <w:szCs w:val="22"/>
        </w:rPr>
        <w:t>T</w:t>
      </w:r>
      <w:r>
        <w:rPr>
          <w:rFonts w:ascii="Arial" w:hAnsi="Arial" w:cs="Arial"/>
          <w:color w:val="000000"/>
          <w:spacing w:val="-1"/>
          <w:sz w:val="22"/>
          <w:szCs w:val="22"/>
        </w:rPr>
        <w:t>h</w:t>
      </w:r>
      <w:r>
        <w:rPr>
          <w:rFonts w:ascii="Arial" w:hAnsi="Arial" w:cs="Arial"/>
          <w:color w:val="000000"/>
          <w:sz w:val="22"/>
          <w:szCs w:val="22"/>
        </w:rPr>
        <w:t>e</w:t>
      </w:r>
      <w:r>
        <w:rPr>
          <w:rFonts w:ascii="Arial" w:hAnsi="Arial" w:cs="Arial"/>
          <w:color w:val="000000"/>
          <w:spacing w:val="1"/>
          <w:sz w:val="22"/>
          <w:szCs w:val="22"/>
        </w:rPr>
        <w:t xml:space="preserve"> </w:t>
      </w:r>
      <w:r>
        <w:rPr>
          <w:rFonts w:ascii="Arial" w:hAnsi="Arial" w:cs="Arial"/>
          <w:color w:val="000000"/>
          <w:spacing w:val="-3"/>
          <w:sz w:val="22"/>
          <w:szCs w:val="22"/>
        </w:rPr>
        <w:t>f</w:t>
      </w:r>
      <w:r>
        <w:rPr>
          <w:rFonts w:ascii="Arial" w:hAnsi="Arial" w:cs="Arial"/>
          <w:color w:val="000000"/>
          <w:spacing w:val="1"/>
          <w:sz w:val="22"/>
          <w:szCs w:val="22"/>
        </w:rPr>
        <w:t>o</w:t>
      </w:r>
      <w:r>
        <w:rPr>
          <w:rFonts w:ascii="Arial" w:hAnsi="Arial" w:cs="Arial"/>
          <w:color w:val="000000"/>
          <w:sz w:val="22"/>
          <w:szCs w:val="22"/>
        </w:rPr>
        <w:t>ll</w:t>
      </w:r>
      <w:r>
        <w:rPr>
          <w:rFonts w:ascii="Arial" w:hAnsi="Arial" w:cs="Arial"/>
          <w:color w:val="000000"/>
          <w:spacing w:val="-1"/>
          <w:sz w:val="22"/>
          <w:szCs w:val="22"/>
        </w:rPr>
        <w:t>o</w:t>
      </w:r>
      <w:r>
        <w:rPr>
          <w:rFonts w:ascii="Arial" w:hAnsi="Arial" w:cs="Arial"/>
          <w:color w:val="000000"/>
          <w:sz w:val="22"/>
          <w:szCs w:val="22"/>
        </w:rPr>
        <w:t>wi</w:t>
      </w:r>
      <w:r>
        <w:rPr>
          <w:rFonts w:ascii="Arial" w:hAnsi="Arial" w:cs="Arial"/>
          <w:color w:val="000000"/>
          <w:spacing w:val="-1"/>
          <w:sz w:val="22"/>
          <w:szCs w:val="22"/>
        </w:rPr>
        <w:t>n</w:t>
      </w:r>
      <w:r>
        <w:rPr>
          <w:rFonts w:ascii="Arial" w:hAnsi="Arial" w:cs="Arial"/>
          <w:color w:val="000000"/>
          <w:sz w:val="22"/>
          <w:szCs w:val="22"/>
        </w:rPr>
        <w:t>g fi</w:t>
      </w:r>
      <w:r>
        <w:rPr>
          <w:rFonts w:ascii="Arial" w:hAnsi="Arial" w:cs="Arial"/>
          <w:color w:val="000000"/>
          <w:spacing w:val="-1"/>
          <w:sz w:val="22"/>
          <w:szCs w:val="22"/>
        </w:rPr>
        <w:t>gu</w:t>
      </w:r>
      <w:r>
        <w:rPr>
          <w:rFonts w:ascii="Arial" w:hAnsi="Arial" w:cs="Arial"/>
          <w:color w:val="000000"/>
          <w:sz w:val="22"/>
          <w:szCs w:val="22"/>
        </w:rPr>
        <w:t>re</w:t>
      </w:r>
      <w:r>
        <w:rPr>
          <w:rFonts w:ascii="Arial" w:hAnsi="Arial" w:cs="Arial"/>
          <w:color w:val="000000"/>
          <w:spacing w:val="1"/>
          <w:sz w:val="22"/>
          <w:szCs w:val="22"/>
        </w:rPr>
        <w:t xml:space="preserve"> o</w:t>
      </w:r>
      <w:r>
        <w:rPr>
          <w:rFonts w:ascii="Arial" w:hAnsi="Arial" w:cs="Arial"/>
          <w:color w:val="000000"/>
          <w:spacing w:val="-3"/>
          <w:sz w:val="22"/>
          <w:szCs w:val="22"/>
        </w:rPr>
        <w:t>u</w:t>
      </w:r>
      <w:r>
        <w:rPr>
          <w:rFonts w:ascii="Arial" w:hAnsi="Arial" w:cs="Arial"/>
          <w:color w:val="000000"/>
          <w:sz w:val="22"/>
          <w:szCs w:val="22"/>
        </w:rPr>
        <w:t>tli</w:t>
      </w:r>
      <w:r>
        <w:rPr>
          <w:rFonts w:ascii="Arial" w:hAnsi="Arial" w:cs="Arial"/>
          <w:color w:val="000000"/>
          <w:spacing w:val="-1"/>
          <w:sz w:val="22"/>
          <w:szCs w:val="22"/>
        </w:rPr>
        <w:t>n</w:t>
      </w:r>
      <w:r>
        <w:rPr>
          <w:rFonts w:ascii="Arial" w:hAnsi="Arial" w:cs="Arial"/>
          <w:color w:val="000000"/>
          <w:spacing w:val="1"/>
          <w:sz w:val="22"/>
          <w:szCs w:val="22"/>
        </w:rPr>
        <w:t>e</w:t>
      </w:r>
      <w:r>
        <w:rPr>
          <w:rFonts w:ascii="Arial" w:hAnsi="Arial" w:cs="Arial"/>
          <w:color w:val="000000"/>
          <w:sz w:val="22"/>
          <w:szCs w:val="22"/>
        </w:rPr>
        <w:t>s</w:t>
      </w:r>
      <w:r>
        <w:rPr>
          <w:rFonts w:ascii="Arial" w:hAnsi="Arial" w:cs="Arial"/>
          <w:color w:val="000000"/>
          <w:spacing w:val="1"/>
          <w:sz w:val="22"/>
          <w:szCs w:val="22"/>
        </w:rPr>
        <w:t xml:space="preserve"> </w:t>
      </w:r>
      <w:r>
        <w:rPr>
          <w:rFonts w:ascii="Arial" w:hAnsi="Arial" w:cs="Arial"/>
          <w:color w:val="000000"/>
          <w:sz w:val="22"/>
          <w:szCs w:val="22"/>
        </w:rPr>
        <w:t xml:space="preserve">a </w:t>
      </w:r>
      <w:r>
        <w:rPr>
          <w:rFonts w:ascii="Arial" w:hAnsi="Arial" w:cs="Arial"/>
          <w:color w:val="000000"/>
          <w:spacing w:val="-2"/>
          <w:sz w:val="22"/>
          <w:szCs w:val="22"/>
        </w:rPr>
        <w:t>t</w:t>
      </w:r>
      <w:r>
        <w:rPr>
          <w:rFonts w:ascii="Arial" w:hAnsi="Arial" w:cs="Arial"/>
          <w:color w:val="000000"/>
          <w:spacing w:val="1"/>
          <w:sz w:val="22"/>
          <w:szCs w:val="22"/>
        </w:rPr>
        <w:t>y</w:t>
      </w:r>
      <w:r>
        <w:rPr>
          <w:rFonts w:ascii="Arial" w:hAnsi="Arial" w:cs="Arial"/>
          <w:color w:val="000000"/>
          <w:spacing w:val="-1"/>
          <w:sz w:val="22"/>
          <w:szCs w:val="22"/>
        </w:rPr>
        <w:t>p</w:t>
      </w:r>
      <w:r>
        <w:rPr>
          <w:rFonts w:ascii="Arial" w:hAnsi="Arial" w:cs="Arial"/>
          <w:color w:val="000000"/>
          <w:sz w:val="22"/>
          <w:szCs w:val="22"/>
        </w:rPr>
        <w:t xml:space="preserve">ical </w:t>
      </w:r>
      <w:r>
        <w:rPr>
          <w:rFonts w:ascii="Arial" w:hAnsi="Arial" w:cs="Arial"/>
          <w:color w:val="000000"/>
          <w:spacing w:val="-1"/>
          <w:sz w:val="22"/>
          <w:szCs w:val="22"/>
        </w:rPr>
        <w:t>p</w:t>
      </w:r>
      <w:r>
        <w:rPr>
          <w:rFonts w:ascii="Arial" w:hAnsi="Arial" w:cs="Arial"/>
          <w:color w:val="000000"/>
          <w:spacing w:val="-3"/>
          <w:sz w:val="22"/>
          <w:szCs w:val="22"/>
        </w:rPr>
        <w:t>r</w:t>
      </w:r>
      <w:r>
        <w:rPr>
          <w:rFonts w:ascii="Arial" w:hAnsi="Arial" w:cs="Arial"/>
          <w:color w:val="000000"/>
          <w:spacing w:val="1"/>
          <w:sz w:val="22"/>
          <w:szCs w:val="22"/>
        </w:rPr>
        <w:t>o</w:t>
      </w:r>
      <w:r>
        <w:rPr>
          <w:rFonts w:ascii="Arial" w:hAnsi="Arial" w:cs="Arial"/>
          <w:color w:val="000000"/>
          <w:sz w:val="22"/>
          <w:szCs w:val="22"/>
        </w:rPr>
        <w:t>c</w:t>
      </w:r>
      <w:r>
        <w:rPr>
          <w:rFonts w:ascii="Arial" w:hAnsi="Arial" w:cs="Arial"/>
          <w:color w:val="000000"/>
          <w:spacing w:val="-2"/>
          <w:sz w:val="22"/>
          <w:szCs w:val="22"/>
        </w:rPr>
        <w:t>e</w:t>
      </w:r>
      <w:r>
        <w:rPr>
          <w:rFonts w:ascii="Arial" w:hAnsi="Arial" w:cs="Arial"/>
          <w:color w:val="000000"/>
          <w:sz w:val="22"/>
          <w:szCs w:val="22"/>
        </w:rPr>
        <w:t>ss</w:t>
      </w:r>
      <w:r>
        <w:rPr>
          <w:rFonts w:ascii="Arial" w:hAnsi="Arial" w:cs="Arial"/>
          <w:color w:val="000000"/>
          <w:spacing w:val="1"/>
          <w:sz w:val="22"/>
          <w:szCs w:val="22"/>
        </w:rPr>
        <w:t xml:space="preserve"> </w:t>
      </w:r>
      <w:r>
        <w:rPr>
          <w:rFonts w:ascii="Arial" w:hAnsi="Arial" w:cs="Arial"/>
          <w:color w:val="000000"/>
          <w:sz w:val="22"/>
          <w:szCs w:val="22"/>
        </w:rPr>
        <w:t>f</w:t>
      </w:r>
      <w:r>
        <w:rPr>
          <w:rFonts w:ascii="Arial" w:hAnsi="Arial" w:cs="Arial"/>
          <w:color w:val="000000"/>
          <w:spacing w:val="-3"/>
          <w:sz w:val="22"/>
          <w:szCs w:val="22"/>
        </w:rPr>
        <w:t>l</w:t>
      </w:r>
      <w:r>
        <w:rPr>
          <w:rFonts w:ascii="Arial" w:hAnsi="Arial" w:cs="Arial"/>
          <w:color w:val="000000"/>
          <w:spacing w:val="1"/>
          <w:sz w:val="22"/>
          <w:szCs w:val="22"/>
        </w:rPr>
        <w:t>o</w:t>
      </w:r>
      <w:r>
        <w:rPr>
          <w:rFonts w:ascii="Arial" w:hAnsi="Arial" w:cs="Arial"/>
          <w:color w:val="000000"/>
          <w:sz w:val="22"/>
          <w:szCs w:val="22"/>
        </w:rPr>
        <w:t>w</w:t>
      </w:r>
      <w:r>
        <w:rPr>
          <w:rFonts w:ascii="Arial" w:hAnsi="Arial" w:cs="Arial"/>
          <w:color w:val="000000"/>
          <w:spacing w:val="1"/>
          <w:sz w:val="22"/>
          <w:szCs w:val="22"/>
        </w:rPr>
        <w:t xml:space="preserve"> </w:t>
      </w:r>
      <w:r>
        <w:rPr>
          <w:rFonts w:ascii="Arial" w:hAnsi="Arial" w:cs="Arial"/>
          <w:color w:val="000000"/>
          <w:spacing w:val="-3"/>
          <w:sz w:val="22"/>
          <w:szCs w:val="22"/>
        </w:rPr>
        <w:t>f</w:t>
      </w:r>
      <w:r>
        <w:rPr>
          <w:rFonts w:ascii="Arial" w:hAnsi="Arial" w:cs="Arial"/>
          <w:color w:val="000000"/>
          <w:spacing w:val="-1"/>
          <w:sz w:val="22"/>
          <w:szCs w:val="22"/>
        </w:rPr>
        <w:t>o</w:t>
      </w:r>
      <w:r>
        <w:rPr>
          <w:rFonts w:ascii="Arial" w:hAnsi="Arial" w:cs="Arial"/>
          <w:color w:val="000000"/>
          <w:sz w:val="22"/>
          <w:szCs w:val="22"/>
        </w:rPr>
        <w:t xml:space="preserve">r a </w:t>
      </w:r>
      <w:proofErr w:type="spellStart"/>
      <w:r>
        <w:rPr>
          <w:rFonts w:ascii="Arial" w:hAnsi="Arial" w:cs="Arial"/>
          <w:color w:val="000000"/>
          <w:sz w:val="22"/>
          <w:szCs w:val="22"/>
        </w:rPr>
        <w:t>CommonCheckout</w:t>
      </w:r>
      <w:proofErr w:type="spellEnd"/>
      <w:r>
        <w:rPr>
          <w:rFonts w:ascii="Arial" w:hAnsi="Arial" w:cs="Arial"/>
          <w:color w:val="000000"/>
          <w:spacing w:val="2"/>
          <w:sz w:val="22"/>
          <w:szCs w:val="22"/>
        </w:rPr>
        <w:t xml:space="preserve"> </w:t>
      </w:r>
      <w:r>
        <w:rPr>
          <w:rFonts w:ascii="Arial" w:hAnsi="Arial" w:cs="Arial"/>
          <w:color w:val="000000"/>
          <w:sz w:val="22"/>
          <w:szCs w:val="22"/>
        </w:rPr>
        <w:t>tra</w:t>
      </w:r>
      <w:r>
        <w:rPr>
          <w:rFonts w:ascii="Arial" w:hAnsi="Arial" w:cs="Arial"/>
          <w:color w:val="000000"/>
          <w:spacing w:val="-1"/>
          <w:sz w:val="22"/>
          <w:szCs w:val="22"/>
        </w:rPr>
        <w:t>n</w:t>
      </w:r>
      <w:r>
        <w:rPr>
          <w:rFonts w:ascii="Arial" w:hAnsi="Arial" w:cs="Arial"/>
          <w:color w:val="000000"/>
          <w:sz w:val="22"/>
          <w:szCs w:val="22"/>
        </w:rPr>
        <w:t>s</w:t>
      </w:r>
      <w:r>
        <w:rPr>
          <w:rFonts w:ascii="Arial" w:hAnsi="Arial" w:cs="Arial"/>
          <w:color w:val="000000"/>
          <w:spacing w:val="-3"/>
          <w:sz w:val="22"/>
          <w:szCs w:val="22"/>
        </w:rPr>
        <w:t>a</w:t>
      </w:r>
      <w:r>
        <w:rPr>
          <w:rFonts w:ascii="Arial" w:hAnsi="Arial" w:cs="Arial"/>
          <w:color w:val="000000"/>
          <w:sz w:val="22"/>
          <w:szCs w:val="22"/>
        </w:rPr>
        <w:t>cti</w:t>
      </w:r>
      <w:r>
        <w:rPr>
          <w:rFonts w:ascii="Arial" w:hAnsi="Arial" w:cs="Arial"/>
          <w:color w:val="000000"/>
          <w:spacing w:val="1"/>
          <w:sz w:val="22"/>
          <w:szCs w:val="22"/>
        </w:rPr>
        <w:t>o</w:t>
      </w:r>
      <w:r>
        <w:rPr>
          <w:rFonts w:ascii="Arial" w:hAnsi="Arial" w:cs="Arial"/>
          <w:color w:val="000000"/>
          <w:spacing w:val="-1"/>
          <w:sz w:val="22"/>
          <w:szCs w:val="22"/>
        </w:rPr>
        <w:t>n.</w:t>
      </w:r>
    </w:p>
    <w:p w14:paraId="575E0EFD" w14:textId="77777777" w:rsidR="0067645A" w:rsidRDefault="0067645A" w:rsidP="00C9766B">
      <w:pPr>
        <w:widowControl w:val="0"/>
        <w:autoSpaceDE w:val="0"/>
        <w:autoSpaceDN w:val="0"/>
        <w:adjustRightInd w:val="0"/>
        <w:spacing w:after="160"/>
        <w:jc w:val="both"/>
        <w:rPr>
          <w:rFonts w:ascii="Times New Roman" w:hAnsi="Times New Roman" w:cs="Times New Roman"/>
          <w:sz w:val="22"/>
          <w:szCs w:val="22"/>
        </w:rPr>
      </w:pPr>
      <w:r>
        <w:rPr>
          <w:rFonts w:ascii="Times New Roman" w:hAnsi="Times New Roman" w:cs="Times New Roman"/>
          <w:noProof/>
          <w:color w:val="2B579A"/>
          <w:shd w:val="clear" w:color="auto" w:fill="E6E6E6"/>
        </w:rPr>
        <w:object w:dxaOrig="9060" w:dyaOrig="12252" w14:anchorId="693EA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6pt;height:612.6pt;mso-width-percent:0;mso-height-percent:0;mso-width-percent:0;mso-height-percent:0" o:ole="">
            <v:imagedata r:id="rId14" o:title=""/>
          </v:shape>
          <o:OLEObject Type="Embed" ProgID="Visio.Drawing.11" ShapeID="_x0000_i1025" DrawAspect="Content" ObjectID="_1834140859" r:id="rId15"/>
        </w:object>
      </w:r>
    </w:p>
    <w:p w14:paraId="4E71D268" w14:textId="77777777" w:rsidR="0067645A" w:rsidRDefault="0067645A" w:rsidP="00C9766B">
      <w:pPr>
        <w:widowControl w:val="0"/>
        <w:autoSpaceDE w:val="0"/>
        <w:autoSpaceDN w:val="0"/>
        <w:adjustRightInd w:val="0"/>
        <w:spacing w:after="0"/>
        <w:jc w:val="both"/>
        <w:rPr>
          <w:rFonts w:ascii="Times New Roman" w:hAnsi="Times New Roman" w:cs="Times New Roman"/>
          <w:sz w:val="22"/>
          <w:szCs w:val="22"/>
        </w:rPr>
      </w:pPr>
    </w:p>
    <w:p w14:paraId="7FA1B918" w14:textId="77777777" w:rsidR="0067645A" w:rsidRDefault="0067645A" w:rsidP="00C9766B">
      <w:pPr>
        <w:widowControl w:val="0"/>
        <w:autoSpaceDE w:val="0"/>
        <w:autoSpaceDN w:val="0"/>
        <w:adjustRightInd w:val="0"/>
        <w:spacing w:after="0"/>
        <w:jc w:val="both"/>
        <w:rPr>
          <w:rFonts w:ascii="Times New Roman" w:hAnsi="Times New Roman" w:cs="Times New Roman"/>
          <w:sz w:val="22"/>
          <w:szCs w:val="22"/>
        </w:rPr>
      </w:pPr>
    </w:p>
    <w:p w14:paraId="7A46BB56" w14:textId="77777777" w:rsidR="0067645A" w:rsidRDefault="0067645A" w:rsidP="00C9766B">
      <w:pPr>
        <w:widowControl w:val="0"/>
        <w:autoSpaceDE w:val="0"/>
        <w:autoSpaceDN w:val="0"/>
        <w:adjustRightInd w:val="0"/>
        <w:spacing w:after="0"/>
        <w:jc w:val="both"/>
        <w:rPr>
          <w:rFonts w:ascii="Times New Roman" w:hAnsi="Times New Roman" w:cs="Times New Roman"/>
          <w:sz w:val="22"/>
          <w:szCs w:val="22"/>
        </w:rPr>
      </w:pPr>
    </w:p>
    <w:p w14:paraId="068DC88F" w14:textId="77777777" w:rsidR="0067645A" w:rsidRDefault="0067645A" w:rsidP="00C9766B">
      <w:pPr>
        <w:widowControl w:val="0"/>
        <w:spacing w:after="0"/>
        <w:jc w:val="both"/>
        <w:rPr>
          <w:rFonts w:ascii="Arial" w:hAnsi="Arial" w:cs="Arial"/>
          <w:sz w:val="22"/>
          <w:szCs w:val="22"/>
        </w:rPr>
      </w:pPr>
      <w:r>
        <w:rPr>
          <w:rFonts w:ascii="Arial" w:hAnsi="Arial" w:cs="Arial"/>
          <w:sz w:val="22"/>
          <w:szCs w:val="22"/>
          <w:u w:val="single"/>
        </w:rPr>
        <w:t>CCP Option 2</w:t>
      </w:r>
      <w:r>
        <w:rPr>
          <w:rFonts w:ascii="Arial" w:hAnsi="Arial" w:cs="Arial"/>
          <w:sz w:val="22"/>
          <w:szCs w:val="22"/>
        </w:rPr>
        <w:t xml:space="preserve">:   Server-side Web Service Calls and </w:t>
      </w:r>
      <w:proofErr w:type="spellStart"/>
      <w:r>
        <w:rPr>
          <w:rFonts w:ascii="Arial" w:hAnsi="Arial" w:cs="Arial"/>
          <w:sz w:val="22"/>
          <w:szCs w:val="22"/>
        </w:rPr>
        <w:t>InContext</w:t>
      </w:r>
      <w:proofErr w:type="spellEnd"/>
      <w:r>
        <w:rPr>
          <w:rFonts w:ascii="Arial" w:hAnsi="Arial" w:cs="Arial"/>
          <w:sz w:val="22"/>
          <w:szCs w:val="22"/>
        </w:rPr>
        <w:t xml:space="preserve"> </w:t>
      </w:r>
      <w:proofErr w:type="spellStart"/>
      <w:r>
        <w:rPr>
          <w:rFonts w:ascii="Arial" w:hAnsi="Arial" w:cs="Arial"/>
          <w:sz w:val="22"/>
          <w:szCs w:val="22"/>
        </w:rPr>
        <w:t>IFrame</w:t>
      </w:r>
      <w:proofErr w:type="spellEnd"/>
      <w:r>
        <w:rPr>
          <w:rFonts w:ascii="Arial" w:hAnsi="Arial" w:cs="Arial"/>
          <w:sz w:val="22"/>
          <w:szCs w:val="22"/>
        </w:rPr>
        <w:t xml:space="preserve"> Display</w:t>
      </w:r>
    </w:p>
    <w:p w14:paraId="0853C23C" w14:textId="77777777" w:rsidR="0067645A" w:rsidRDefault="0067645A" w:rsidP="00C9766B">
      <w:pPr>
        <w:spacing w:after="0"/>
        <w:jc w:val="both"/>
        <w:textAlignment w:val="baseline"/>
        <w:rPr>
          <w:rFonts w:ascii="Arial" w:eastAsia="Times New Roman" w:hAnsi="Arial" w:cs="Arial"/>
          <w:sz w:val="22"/>
          <w:szCs w:val="22"/>
        </w:rPr>
      </w:pPr>
      <w:r>
        <w:rPr>
          <w:rFonts w:ascii="Arial" w:eastAsia="Times New Roman" w:hAnsi="Arial" w:cs="Arial"/>
          <w:sz w:val="22"/>
          <w:szCs w:val="22"/>
        </w:rPr>
        <w:t xml:space="preserve">Partners who do not wish to redirect users away from and wish to display payment options on the page may utilize the CCP </w:t>
      </w:r>
      <w:proofErr w:type="spellStart"/>
      <w:r>
        <w:rPr>
          <w:rFonts w:ascii="Arial" w:eastAsia="Times New Roman" w:hAnsi="Arial" w:cs="Arial"/>
          <w:sz w:val="22"/>
          <w:szCs w:val="22"/>
        </w:rPr>
        <w:t>InContext</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Iframe</w:t>
      </w:r>
      <w:proofErr w:type="spellEnd"/>
      <w:r>
        <w:rPr>
          <w:rFonts w:ascii="Arial" w:eastAsia="Times New Roman" w:hAnsi="Arial" w:cs="Arial"/>
          <w:sz w:val="22"/>
          <w:szCs w:val="22"/>
        </w:rPr>
        <w:t xml:space="preserve"> Display view which allows Common Checkout to be embedded within the Partners page via an </w:t>
      </w:r>
      <w:proofErr w:type="spellStart"/>
      <w:r>
        <w:rPr>
          <w:rFonts w:ascii="Arial" w:eastAsia="Times New Roman" w:hAnsi="Arial" w:cs="Arial"/>
          <w:sz w:val="22"/>
          <w:szCs w:val="22"/>
        </w:rPr>
        <w:t>Iframe</w:t>
      </w:r>
      <w:proofErr w:type="spellEnd"/>
      <w:r>
        <w:rPr>
          <w:rFonts w:ascii="Arial" w:eastAsia="Times New Roman" w:hAnsi="Arial" w:cs="Arial"/>
          <w:sz w:val="22"/>
          <w:szCs w:val="22"/>
        </w:rPr>
        <w:t xml:space="preserve">. </w:t>
      </w:r>
    </w:p>
    <w:p w14:paraId="104F38B0" w14:textId="77777777" w:rsidR="0067645A" w:rsidRDefault="0067645A" w:rsidP="00C9766B">
      <w:pPr>
        <w:spacing w:after="0"/>
        <w:jc w:val="both"/>
        <w:textAlignment w:val="baseline"/>
        <w:rPr>
          <w:rFonts w:ascii="Arial" w:eastAsia="Times New Roman" w:hAnsi="Arial" w:cs="Arial"/>
          <w:sz w:val="22"/>
          <w:szCs w:val="22"/>
        </w:rPr>
      </w:pPr>
    </w:p>
    <w:p w14:paraId="4A3E76F4" w14:textId="77777777" w:rsidR="0067645A" w:rsidRDefault="0067645A" w:rsidP="00C9766B">
      <w:pPr>
        <w:spacing w:after="0"/>
        <w:jc w:val="both"/>
        <w:textAlignment w:val="baseline"/>
        <w:rPr>
          <w:rFonts w:ascii="Arial" w:eastAsia="Times New Roman" w:hAnsi="Arial" w:cs="Arial"/>
          <w:sz w:val="22"/>
          <w:szCs w:val="22"/>
        </w:rPr>
      </w:pPr>
      <w:r>
        <w:rPr>
          <w:rFonts w:ascii="Arial" w:eastAsia="Times New Roman" w:hAnsi="Arial" w:cs="Arial"/>
          <w:sz w:val="22"/>
          <w:szCs w:val="22"/>
        </w:rPr>
        <w:t>To initiate a transaction, the partner application is required to invoke</w:t>
      </w:r>
      <w:r>
        <w:rPr>
          <w:rFonts w:ascii="Arial" w:eastAsia="Times New Roman" w:hAnsi="Arial" w:cs="Arial"/>
          <w:color w:val="498205"/>
          <w:sz w:val="22"/>
          <w:szCs w:val="22"/>
          <w:u w:val="single"/>
        </w:rPr>
        <w:t xml:space="preserve"> </w:t>
      </w:r>
      <w:r>
        <w:rPr>
          <w:rFonts w:ascii="Arial" w:eastAsia="Times New Roman" w:hAnsi="Arial" w:cs="Arial"/>
          <w:sz w:val="22"/>
          <w:szCs w:val="22"/>
        </w:rPr>
        <w:t xml:space="preserve">the </w:t>
      </w:r>
      <w:proofErr w:type="spellStart"/>
      <w:r>
        <w:rPr>
          <w:rFonts w:ascii="Arial" w:eastAsia="Times New Roman" w:hAnsi="Arial" w:cs="Arial"/>
          <w:sz w:val="22"/>
          <w:szCs w:val="22"/>
        </w:rPr>
        <w:t>PreparePayment</w:t>
      </w:r>
      <w:proofErr w:type="spellEnd"/>
      <w:r>
        <w:rPr>
          <w:rFonts w:ascii="Arial" w:eastAsia="Times New Roman" w:hAnsi="Arial" w:cs="Arial"/>
          <w:sz w:val="22"/>
          <w:szCs w:val="22"/>
        </w:rPr>
        <w:t xml:space="preserve"> method on the Common Checkout web service (</w:t>
      </w:r>
      <w:proofErr w:type="spellStart"/>
      <w:r>
        <w:rPr>
          <w:rFonts w:ascii="Arial" w:eastAsia="Times New Roman" w:hAnsi="Arial" w:cs="Arial"/>
          <w:sz w:val="22"/>
          <w:szCs w:val="22"/>
        </w:rPr>
        <w:t>ReST</w:t>
      </w:r>
      <w:proofErr w:type="spellEnd"/>
      <w:r>
        <w:rPr>
          <w:rFonts w:ascii="Arial" w:eastAsia="Times New Roman" w:hAnsi="Arial" w:cs="Arial"/>
          <w:sz w:val="22"/>
          <w:szCs w:val="22"/>
        </w:rPr>
        <w:t xml:space="preserve"> or SOAP) that is passing along the financial/customer/application information.   </w:t>
      </w:r>
    </w:p>
    <w:p w14:paraId="59663F43" w14:textId="77777777" w:rsidR="0067645A" w:rsidRDefault="0067645A" w:rsidP="00C9766B">
      <w:pPr>
        <w:pStyle w:val="ListParagraph"/>
        <w:numPr>
          <w:ilvl w:val="0"/>
          <w:numId w:val="39"/>
        </w:numPr>
        <w:spacing w:after="0"/>
        <w:jc w:val="both"/>
        <w:textAlignment w:val="baseline"/>
        <w:rPr>
          <w:rFonts w:ascii="Arial" w:eastAsia="Times New Roman" w:hAnsi="Arial" w:cs="Arial"/>
          <w:sz w:val="22"/>
          <w:szCs w:val="22"/>
        </w:rPr>
      </w:pPr>
      <w:r>
        <w:rPr>
          <w:rFonts w:ascii="Arial" w:eastAsia="Times New Roman" w:hAnsi="Arial" w:cs="Arial"/>
          <w:sz w:val="22"/>
          <w:szCs w:val="22"/>
        </w:rPr>
        <w:t>The Web Service operation returns a token back in the SOAP</w:t>
      </w:r>
      <w:r>
        <w:rPr>
          <w:rFonts w:ascii="Arial" w:eastAsia="Times New Roman" w:hAnsi="Arial" w:cs="Arial"/>
          <w:color w:val="498205"/>
          <w:sz w:val="22"/>
          <w:szCs w:val="22"/>
        </w:rPr>
        <w:t xml:space="preserve"> </w:t>
      </w:r>
      <w:r>
        <w:rPr>
          <w:rFonts w:ascii="Arial" w:eastAsia="Times New Roman" w:hAnsi="Arial" w:cs="Arial"/>
          <w:sz w:val="22"/>
          <w:szCs w:val="22"/>
        </w:rPr>
        <w:t xml:space="preserve">or </w:t>
      </w:r>
      <w:proofErr w:type="spellStart"/>
      <w:r>
        <w:rPr>
          <w:rFonts w:ascii="Arial" w:eastAsia="Times New Roman" w:hAnsi="Arial" w:cs="Arial"/>
          <w:sz w:val="22"/>
          <w:szCs w:val="22"/>
        </w:rPr>
        <w:t>ReST</w:t>
      </w:r>
      <w:proofErr w:type="spellEnd"/>
      <w:r>
        <w:rPr>
          <w:rFonts w:ascii="Arial" w:eastAsia="Times New Roman" w:hAnsi="Arial" w:cs="Arial"/>
          <w:sz w:val="22"/>
          <w:szCs w:val="22"/>
        </w:rPr>
        <w:t xml:space="preserve"> response.  This token allows CCP to recall and process the transaction using the information provided during the </w:t>
      </w:r>
      <w:proofErr w:type="spellStart"/>
      <w:r>
        <w:rPr>
          <w:rFonts w:ascii="Arial" w:eastAsia="Times New Roman" w:hAnsi="Arial" w:cs="Arial"/>
          <w:sz w:val="22"/>
          <w:szCs w:val="22"/>
        </w:rPr>
        <w:t>PreparePayment</w:t>
      </w:r>
      <w:proofErr w:type="spellEnd"/>
      <w:r>
        <w:rPr>
          <w:rFonts w:ascii="Arial" w:eastAsia="Times New Roman" w:hAnsi="Arial" w:cs="Arial"/>
          <w:sz w:val="22"/>
          <w:szCs w:val="22"/>
        </w:rPr>
        <w:t xml:space="preserve"> call.  </w:t>
      </w:r>
    </w:p>
    <w:p w14:paraId="4295D843" w14:textId="77777777" w:rsidR="0067645A" w:rsidRDefault="0067645A" w:rsidP="00C9766B">
      <w:pPr>
        <w:pStyle w:val="ListParagraph"/>
        <w:numPr>
          <w:ilvl w:val="0"/>
          <w:numId w:val="39"/>
        </w:numPr>
        <w:spacing w:after="0"/>
        <w:jc w:val="both"/>
        <w:textAlignment w:val="baseline"/>
        <w:rPr>
          <w:rFonts w:ascii="Arial" w:eastAsia="Times New Roman" w:hAnsi="Arial" w:cs="Arial"/>
          <w:sz w:val="22"/>
          <w:szCs w:val="22"/>
        </w:rPr>
      </w:pPr>
      <w:r>
        <w:rPr>
          <w:rFonts w:ascii="Arial" w:eastAsia="Times New Roman" w:hAnsi="Arial" w:cs="Arial"/>
          <w:sz w:val="22"/>
          <w:szCs w:val="22"/>
        </w:rPr>
        <w:t>This token is required as a query string parameter when redirecting the user to CCP for collection and processing of payment information. </w:t>
      </w:r>
    </w:p>
    <w:p w14:paraId="099663E6" w14:textId="77777777" w:rsidR="0067645A" w:rsidRDefault="0067645A" w:rsidP="00C9766B">
      <w:pPr>
        <w:pStyle w:val="ListParagraph"/>
        <w:numPr>
          <w:ilvl w:val="0"/>
          <w:numId w:val="39"/>
        </w:numPr>
        <w:spacing w:after="0"/>
        <w:jc w:val="both"/>
        <w:textAlignment w:val="baseline"/>
        <w:rPr>
          <w:rFonts w:ascii="Arial" w:eastAsia="Times New Roman" w:hAnsi="Arial" w:cs="Arial"/>
          <w:sz w:val="22"/>
          <w:szCs w:val="22"/>
        </w:rPr>
      </w:pPr>
      <w:r>
        <w:rPr>
          <w:rFonts w:ascii="Arial" w:eastAsia="Times New Roman" w:hAnsi="Arial" w:cs="Arial"/>
          <w:sz w:val="22"/>
          <w:szCs w:val="22"/>
        </w:rPr>
        <w:t xml:space="preserve">When the customer chooses to continue with the payment by clicking a form button on the partner screen, the partner’s application call renders the Common Checkout web application embedded in an </w:t>
      </w:r>
      <w:proofErr w:type="spellStart"/>
      <w:r>
        <w:rPr>
          <w:rFonts w:ascii="Arial" w:eastAsia="Times New Roman" w:hAnsi="Arial" w:cs="Arial"/>
          <w:sz w:val="22"/>
          <w:szCs w:val="22"/>
        </w:rPr>
        <w:t>Iframe</w:t>
      </w:r>
      <w:proofErr w:type="spellEnd"/>
      <w:r>
        <w:rPr>
          <w:rFonts w:ascii="Arial" w:eastAsia="Times New Roman" w:hAnsi="Arial" w:cs="Arial"/>
          <w:sz w:val="22"/>
          <w:szCs w:val="22"/>
        </w:rPr>
        <w:t xml:space="preserve"> on the current page.  </w:t>
      </w:r>
    </w:p>
    <w:p w14:paraId="6983350F" w14:textId="77777777" w:rsidR="0067645A" w:rsidRDefault="0067645A" w:rsidP="00C9766B">
      <w:pPr>
        <w:pStyle w:val="ListParagraph"/>
        <w:numPr>
          <w:ilvl w:val="0"/>
          <w:numId w:val="39"/>
        </w:numPr>
        <w:spacing w:after="0"/>
        <w:jc w:val="both"/>
        <w:textAlignment w:val="baseline"/>
        <w:rPr>
          <w:rFonts w:ascii="Arial" w:eastAsia="Times New Roman" w:hAnsi="Arial" w:cs="Arial"/>
          <w:sz w:val="22"/>
          <w:szCs w:val="22"/>
        </w:rPr>
      </w:pPr>
      <w:r>
        <w:rPr>
          <w:rFonts w:ascii="Arial" w:eastAsia="Times New Roman" w:hAnsi="Arial" w:cs="Arial"/>
          <w:sz w:val="22"/>
          <w:szCs w:val="22"/>
        </w:rPr>
        <w:t xml:space="preserve">The Common Checkout web application retrieves the customer/financial/application data associated with the token and displays it on the payment page within the </w:t>
      </w:r>
      <w:proofErr w:type="spellStart"/>
      <w:r>
        <w:rPr>
          <w:rFonts w:ascii="Arial" w:eastAsia="Times New Roman" w:hAnsi="Arial" w:cs="Arial"/>
          <w:sz w:val="22"/>
          <w:szCs w:val="22"/>
        </w:rPr>
        <w:t>Iframe</w:t>
      </w:r>
      <w:proofErr w:type="spellEnd"/>
      <w:r>
        <w:rPr>
          <w:rFonts w:ascii="Arial" w:eastAsia="Times New Roman" w:hAnsi="Arial" w:cs="Arial"/>
          <w:sz w:val="22"/>
          <w:szCs w:val="22"/>
        </w:rPr>
        <w:t>.  </w:t>
      </w:r>
    </w:p>
    <w:p w14:paraId="69977DBA" w14:textId="77777777" w:rsidR="0067645A" w:rsidRDefault="0067645A" w:rsidP="00C9766B">
      <w:pPr>
        <w:pStyle w:val="ListParagraph"/>
        <w:numPr>
          <w:ilvl w:val="0"/>
          <w:numId w:val="39"/>
        </w:numPr>
        <w:spacing w:after="0"/>
        <w:jc w:val="both"/>
        <w:textAlignment w:val="baseline"/>
        <w:rPr>
          <w:rFonts w:ascii="Arial" w:eastAsia="Times New Roman" w:hAnsi="Arial" w:cs="Arial"/>
          <w:sz w:val="22"/>
          <w:szCs w:val="22"/>
        </w:rPr>
      </w:pPr>
      <w:r>
        <w:rPr>
          <w:rFonts w:ascii="Arial" w:eastAsia="Times New Roman" w:hAnsi="Arial" w:cs="Arial"/>
          <w:sz w:val="22"/>
          <w:szCs w:val="22"/>
        </w:rPr>
        <w:t xml:space="preserve">The Common Checkout application within the </w:t>
      </w:r>
      <w:proofErr w:type="spellStart"/>
      <w:r>
        <w:rPr>
          <w:rFonts w:ascii="Arial" w:eastAsia="Times New Roman" w:hAnsi="Arial" w:cs="Arial"/>
          <w:sz w:val="22"/>
          <w:szCs w:val="22"/>
        </w:rPr>
        <w:t>Iframe</w:t>
      </w:r>
      <w:proofErr w:type="spellEnd"/>
      <w:r>
        <w:rPr>
          <w:rFonts w:ascii="Arial" w:eastAsia="Times New Roman" w:hAnsi="Arial" w:cs="Arial"/>
          <w:sz w:val="22"/>
          <w:szCs w:val="22"/>
        </w:rPr>
        <w:t xml:space="preserve"> communicates to the partner application on the parent window via the application subscribing to an event listener and receiving a JSON response. </w:t>
      </w:r>
    </w:p>
    <w:p w14:paraId="73BF3D61" w14:textId="77777777" w:rsidR="0067645A" w:rsidRDefault="0067645A" w:rsidP="00C9766B">
      <w:pPr>
        <w:pStyle w:val="ListParagraph"/>
        <w:numPr>
          <w:ilvl w:val="0"/>
          <w:numId w:val="39"/>
        </w:numPr>
        <w:spacing w:after="0"/>
        <w:jc w:val="both"/>
        <w:textAlignment w:val="baseline"/>
        <w:rPr>
          <w:rFonts w:ascii="Arial" w:eastAsia="Times New Roman" w:hAnsi="Arial" w:cs="Arial"/>
          <w:sz w:val="22"/>
          <w:szCs w:val="22"/>
        </w:rPr>
      </w:pPr>
      <w:r>
        <w:rPr>
          <w:rFonts w:ascii="Arial" w:eastAsia="Times New Roman" w:hAnsi="Arial" w:cs="Arial"/>
          <w:sz w:val="22"/>
          <w:szCs w:val="22"/>
        </w:rPr>
        <w:t>Upon submission of the payment, Common Checkout provides a JSON event response informing the partner application of the status of the payment.</w:t>
      </w:r>
    </w:p>
    <w:p w14:paraId="0AA2B943" w14:textId="77777777" w:rsidR="0067645A" w:rsidRDefault="0067645A" w:rsidP="00C9766B">
      <w:pPr>
        <w:pStyle w:val="ListParagraph"/>
        <w:numPr>
          <w:ilvl w:val="0"/>
          <w:numId w:val="39"/>
        </w:numPr>
        <w:spacing w:after="0"/>
        <w:jc w:val="both"/>
        <w:textAlignment w:val="baseline"/>
        <w:rPr>
          <w:rFonts w:ascii="Arial" w:eastAsia="Times New Roman" w:hAnsi="Arial" w:cs="Arial"/>
          <w:sz w:val="22"/>
          <w:szCs w:val="22"/>
        </w:rPr>
      </w:pPr>
      <w:r>
        <w:rPr>
          <w:rFonts w:ascii="Arial" w:eastAsia="Times New Roman" w:hAnsi="Arial" w:cs="Arial"/>
          <w:sz w:val="22"/>
          <w:szCs w:val="22"/>
        </w:rPr>
        <w:t xml:space="preserve">The partner application can choose to close the </w:t>
      </w:r>
      <w:proofErr w:type="spellStart"/>
      <w:r>
        <w:rPr>
          <w:rFonts w:ascii="Arial" w:eastAsia="Times New Roman" w:hAnsi="Arial" w:cs="Arial"/>
          <w:sz w:val="22"/>
          <w:szCs w:val="22"/>
        </w:rPr>
        <w:t>Iframe</w:t>
      </w:r>
      <w:proofErr w:type="spellEnd"/>
      <w:r>
        <w:rPr>
          <w:rFonts w:ascii="Arial" w:eastAsia="Times New Roman" w:hAnsi="Arial" w:cs="Arial"/>
          <w:sz w:val="22"/>
          <w:szCs w:val="22"/>
        </w:rPr>
        <w:t xml:space="preserve"> and build and display its own receipt.  </w:t>
      </w:r>
    </w:p>
    <w:p w14:paraId="1FA9FF1B" w14:textId="77777777" w:rsidR="0067645A" w:rsidRDefault="0067645A" w:rsidP="00C9766B">
      <w:pPr>
        <w:pStyle w:val="ListParagraph"/>
        <w:numPr>
          <w:ilvl w:val="0"/>
          <w:numId w:val="39"/>
        </w:numPr>
        <w:spacing w:after="0"/>
        <w:jc w:val="both"/>
        <w:textAlignment w:val="baseline"/>
        <w:rPr>
          <w:rFonts w:ascii="Arial" w:eastAsia="Times New Roman" w:hAnsi="Arial" w:cs="Arial"/>
          <w:sz w:val="22"/>
          <w:szCs w:val="22"/>
        </w:rPr>
      </w:pPr>
      <w:r>
        <w:rPr>
          <w:rFonts w:ascii="Arial" w:eastAsia="Times New Roman" w:hAnsi="Arial" w:cs="Arial"/>
          <w:sz w:val="22"/>
          <w:szCs w:val="22"/>
        </w:rPr>
        <w:t xml:space="preserve">The partner application is required to </w:t>
      </w:r>
      <w:proofErr w:type="gramStart"/>
      <w:r>
        <w:rPr>
          <w:rFonts w:ascii="Arial" w:eastAsia="Times New Roman" w:hAnsi="Arial" w:cs="Arial"/>
          <w:sz w:val="22"/>
          <w:szCs w:val="22"/>
        </w:rPr>
        <w:t>do</w:t>
      </w:r>
      <w:proofErr w:type="gramEnd"/>
      <w:r>
        <w:rPr>
          <w:rFonts w:ascii="Arial" w:eastAsia="Times New Roman" w:hAnsi="Arial" w:cs="Arial"/>
          <w:sz w:val="22"/>
          <w:szCs w:val="22"/>
        </w:rPr>
        <w:t xml:space="preserve"> a call back to the Query payment web service by sending the token.  The service will return the transaction information back in the SOAP or Rest response. Optionally, the partner application may receive information about the payment via a ‘</w:t>
      </w:r>
      <w:proofErr w:type="spellStart"/>
      <w:r>
        <w:rPr>
          <w:rFonts w:ascii="Arial" w:eastAsia="Times New Roman" w:hAnsi="Arial" w:cs="Arial"/>
          <w:sz w:val="22"/>
          <w:szCs w:val="22"/>
        </w:rPr>
        <w:t>postback</w:t>
      </w:r>
      <w:proofErr w:type="spellEnd"/>
      <w:r>
        <w:rPr>
          <w:rFonts w:ascii="Arial" w:eastAsia="Times New Roman" w:hAnsi="Arial" w:cs="Arial"/>
          <w:sz w:val="22"/>
          <w:szCs w:val="22"/>
        </w:rPr>
        <w:t>’ message from CCP. These methods ensure the authenticity of the payment.</w:t>
      </w:r>
    </w:p>
    <w:p w14:paraId="57AC7863" w14:textId="77777777" w:rsidR="0067645A" w:rsidRDefault="0067645A" w:rsidP="00C9766B">
      <w:pPr>
        <w:widowControl w:val="0"/>
        <w:spacing w:after="0"/>
        <w:jc w:val="both"/>
        <w:rPr>
          <w:rFonts w:ascii="Arial" w:hAnsi="Arial" w:cs="Arial"/>
          <w:sz w:val="22"/>
          <w:szCs w:val="22"/>
        </w:rPr>
      </w:pPr>
    </w:p>
    <w:p w14:paraId="0E93560B" w14:textId="77777777" w:rsidR="0067645A" w:rsidRDefault="0067645A" w:rsidP="00C9766B">
      <w:pPr>
        <w:widowControl w:val="0"/>
        <w:autoSpaceDE w:val="0"/>
        <w:autoSpaceDN w:val="0"/>
        <w:adjustRightInd w:val="0"/>
        <w:spacing w:after="160"/>
        <w:jc w:val="both"/>
        <w:rPr>
          <w:rFonts w:ascii="Arial" w:hAnsi="Arial" w:cs="Arial"/>
          <w:sz w:val="22"/>
          <w:szCs w:val="22"/>
          <w:u w:val="single"/>
        </w:rPr>
      </w:pPr>
      <w:r>
        <w:rPr>
          <w:rFonts w:ascii="Arial" w:hAnsi="Arial" w:cs="Arial"/>
          <w:sz w:val="22"/>
          <w:szCs w:val="22"/>
          <w:u w:val="single"/>
        </w:rPr>
        <w:t xml:space="preserve">Wallet API One-Time and Stored Payments </w:t>
      </w:r>
    </w:p>
    <w:p w14:paraId="4558A2F0" w14:textId="77777777" w:rsidR="0067645A" w:rsidRDefault="0067645A" w:rsidP="00C9766B">
      <w:pPr>
        <w:jc w:val="both"/>
        <w:rPr>
          <w:rFonts w:ascii="Arial" w:hAnsi="Arial" w:cs="Arial"/>
          <w:sz w:val="22"/>
          <w:szCs w:val="22"/>
        </w:rPr>
      </w:pPr>
      <w:r>
        <w:rPr>
          <w:rFonts w:ascii="Arial" w:hAnsi="Arial" w:cs="Arial"/>
          <w:sz w:val="22"/>
          <w:szCs w:val="22"/>
        </w:rPr>
        <w:t>The Wallet API provides payment integration services for front-end web applications through a Rest interface. It enables front-end application users to save credit card and bank account information and complete payment transactions with the saved payment accounts. Payment account data is stored in a PCI/PII compliant account vault. Communication with the API is restricted to authorized application hosts. Partner application users do not interact directly with the API.</w:t>
      </w:r>
    </w:p>
    <w:p w14:paraId="746F9AD7" w14:textId="77777777" w:rsidR="0067645A" w:rsidRDefault="0067645A" w:rsidP="00C9766B">
      <w:pPr>
        <w:jc w:val="both"/>
        <w:rPr>
          <w:rFonts w:ascii="Arial" w:eastAsia="Times New Roman" w:hAnsi="Arial" w:cs="Arial"/>
          <w:sz w:val="22"/>
          <w:szCs w:val="22"/>
        </w:rPr>
      </w:pPr>
      <w:r>
        <w:rPr>
          <w:rFonts w:ascii="Arial" w:eastAsia="Times New Roman" w:hAnsi="Arial" w:cs="Arial"/>
          <w:sz w:val="22"/>
          <w:szCs w:val="22"/>
        </w:rPr>
        <w:t>To initiate Guest checkout transactions:</w:t>
      </w:r>
    </w:p>
    <w:p w14:paraId="78941925" w14:textId="77777777" w:rsidR="0067645A" w:rsidRDefault="0067645A" w:rsidP="00C9766B">
      <w:pPr>
        <w:pStyle w:val="ListParagraph"/>
        <w:numPr>
          <w:ilvl w:val="0"/>
          <w:numId w:val="40"/>
        </w:numPr>
        <w:spacing w:after="0"/>
        <w:jc w:val="both"/>
        <w:textAlignment w:val="baseline"/>
        <w:rPr>
          <w:rFonts w:ascii="Arial" w:eastAsia="Times New Roman" w:hAnsi="Arial" w:cs="Arial"/>
          <w:sz w:val="22"/>
          <w:szCs w:val="22"/>
        </w:rPr>
      </w:pPr>
      <w:r>
        <w:rPr>
          <w:rFonts w:ascii="Arial" w:eastAsia="Times New Roman" w:hAnsi="Arial" w:cs="Arial"/>
          <w:sz w:val="22"/>
          <w:szCs w:val="22"/>
        </w:rPr>
        <w:t xml:space="preserve">The partner application calls the Wallet API to authorize </w:t>
      </w:r>
      <w:proofErr w:type="gramStart"/>
      <w:r>
        <w:rPr>
          <w:rFonts w:ascii="Arial" w:eastAsia="Times New Roman" w:hAnsi="Arial" w:cs="Arial"/>
          <w:sz w:val="22"/>
          <w:szCs w:val="22"/>
        </w:rPr>
        <w:t>caching</w:t>
      </w:r>
      <w:proofErr w:type="gramEnd"/>
      <w:r>
        <w:rPr>
          <w:rFonts w:ascii="Arial" w:eastAsia="Times New Roman" w:hAnsi="Arial" w:cs="Arial"/>
          <w:sz w:val="22"/>
          <w:szCs w:val="22"/>
        </w:rPr>
        <w:t xml:space="preserve"> a payment account.</w:t>
      </w:r>
    </w:p>
    <w:p w14:paraId="6495A822" w14:textId="77777777" w:rsidR="0067645A" w:rsidRDefault="0067645A" w:rsidP="00C9766B">
      <w:pPr>
        <w:pStyle w:val="ListParagraph"/>
        <w:numPr>
          <w:ilvl w:val="0"/>
          <w:numId w:val="40"/>
        </w:numPr>
        <w:spacing w:after="0"/>
        <w:jc w:val="both"/>
        <w:textAlignment w:val="baseline"/>
        <w:rPr>
          <w:rFonts w:ascii="Arial" w:hAnsi="Arial" w:cs="Arial"/>
          <w:sz w:val="22"/>
          <w:szCs w:val="22"/>
        </w:rPr>
      </w:pPr>
      <w:r>
        <w:rPr>
          <w:rFonts w:ascii="Arial" w:eastAsia="Times New Roman" w:hAnsi="Arial" w:cs="Arial"/>
          <w:sz w:val="22"/>
          <w:szCs w:val="22"/>
        </w:rPr>
        <w:t xml:space="preserve">The Wallet API returns a URL for an </w:t>
      </w:r>
      <w:proofErr w:type="spellStart"/>
      <w:r>
        <w:rPr>
          <w:rFonts w:ascii="Arial" w:eastAsia="Times New Roman" w:hAnsi="Arial" w:cs="Arial"/>
          <w:sz w:val="22"/>
          <w:szCs w:val="22"/>
        </w:rPr>
        <w:t>IFrame</w:t>
      </w:r>
      <w:proofErr w:type="spellEnd"/>
      <w:r>
        <w:rPr>
          <w:rFonts w:ascii="Arial" w:eastAsia="Times New Roman" w:hAnsi="Arial" w:cs="Arial"/>
          <w:sz w:val="22"/>
          <w:szCs w:val="22"/>
        </w:rPr>
        <w:t xml:space="preserve"> to be hosted on a partner application web page.</w:t>
      </w:r>
    </w:p>
    <w:p w14:paraId="5C601EC1" w14:textId="77777777" w:rsidR="0067645A" w:rsidRDefault="0067645A" w:rsidP="00C9766B">
      <w:pPr>
        <w:pStyle w:val="ListParagraph"/>
        <w:numPr>
          <w:ilvl w:val="0"/>
          <w:numId w:val="40"/>
        </w:numPr>
        <w:spacing w:after="0"/>
        <w:jc w:val="both"/>
        <w:textAlignment w:val="baseline"/>
        <w:rPr>
          <w:rFonts w:ascii="Arial" w:eastAsia="Times New Roman" w:hAnsi="Arial" w:cs="Arial"/>
          <w:sz w:val="22"/>
          <w:szCs w:val="22"/>
        </w:rPr>
      </w:pPr>
      <w:r>
        <w:rPr>
          <w:rFonts w:ascii="Arial" w:hAnsi="Arial" w:cs="Arial"/>
          <w:sz w:val="22"/>
          <w:szCs w:val="22"/>
        </w:rPr>
        <w:t xml:space="preserve">Customers enter credit card or e-checking data in the </w:t>
      </w:r>
      <w:proofErr w:type="spellStart"/>
      <w:r>
        <w:rPr>
          <w:rFonts w:ascii="Arial" w:hAnsi="Arial" w:cs="Arial"/>
          <w:sz w:val="22"/>
          <w:szCs w:val="22"/>
        </w:rPr>
        <w:t>iFrame</w:t>
      </w:r>
      <w:proofErr w:type="spellEnd"/>
      <w:r>
        <w:rPr>
          <w:rFonts w:ascii="Arial" w:hAnsi="Arial" w:cs="Arial"/>
          <w:sz w:val="22"/>
          <w:szCs w:val="22"/>
        </w:rPr>
        <w:t>, keeping the front-end application out of PCI scope.</w:t>
      </w:r>
    </w:p>
    <w:p w14:paraId="6E88BC5C" w14:textId="77777777" w:rsidR="0067645A" w:rsidRDefault="0067645A" w:rsidP="00C9766B">
      <w:pPr>
        <w:pStyle w:val="ListParagraph"/>
        <w:numPr>
          <w:ilvl w:val="0"/>
          <w:numId w:val="40"/>
        </w:numPr>
        <w:spacing w:after="0"/>
        <w:jc w:val="both"/>
        <w:textAlignment w:val="baseline"/>
        <w:rPr>
          <w:rFonts w:ascii="Arial" w:eastAsia="Times New Roman" w:hAnsi="Arial" w:cs="Arial"/>
          <w:sz w:val="22"/>
          <w:szCs w:val="22"/>
        </w:rPr>
      </w:pPr>
      <w:r>
        <w:rPr>
          <w:rFonts w:ascii="Arial" w:eastAsia="Times New Roman" w:hAnsi="Arial" w:cs="Arial"/>
          <w:sz w:val="22"/>
          <w:szCs w:val="22"/>
        </w:rPr>
        <w:t>Cached payment accounts are referenced by the Wallet API for payment transactions routed to TPE.</w:t>
      </w:r>
    </w:p>
    <w:p w14:paraId="0EAF04FE" w14:textId="77777777" w:rsidR="0067645A" w:rsidRDefault="0067645A" w:rsidP="00C9766B">
      <w:pPr>
        <w:pStyle w:val="ListParagraph"/>
        <w:numPr>
          <w:ilvl w:val="0"/>
          <w:numId w:val="40"/>
        </w:numPr>
        <w:spacing w:after="0"/>
        <w:jc w:val="both"/>
        <w:textAlignment w:val="baseline"/>
        <w:rPr>
          <w:rFonts w:ascii="Arial" w:eastAsia="Times New Roman" w:hAnsi="Arial" w:cs="Arial"/>
          <w:sz w:val="22"/>
          <w:szCs w:val="22"/>
        </w:rPr>
      </w:pPr>
      <w:r>
        <w:rPr>
          <w:rFonts w:ascii="Arial" w:eastAsia="Times New Roman" w:hAnsi="Arial" w:cs="Arial"/>
          <w:sz w:val="22"/>
          <w:szCs w:val="22"/>
        </w:rPr>
        <w:t>TPE returns the payment result to the Wallet API, which passes the result to the Partner Application as a JSON response.</w:t>
      </w:r>
    </w:p>
    <w:p w14:paraId="6B5F4994" w14:textId="77777777" w:rsidR="0067645A" w:rsidRDefault="0067645A" w:rsidP="00C9766B">
      <w:pPr>
        <w:pStyle w:val="ListParagraph"/>
        <w:numPr>
          <w:ilvl w:val="0"/>
          <w:numId w:val="40"/>
        </w:numPr>
        <w:spacing w:after="0"/>
        <w:jc w:val="both"/>
        <w:textAlignment w:val="baseline"/>
        <w:rPr>
          <w:rFonts w:ascii="Arial" w:eastAsia="Times New Roman" w:hAnsi="Arial" w:cs="Arial"/>
          <w:sz w:val="22"/>
          <w:szCs w:val="22"/>
        </w:rPr>
      </w:pPr>
      <w:r>
        <w:rPr>
          <w:rFonts w:ascii="Arial" w:eastAsia="Times New Roman" w:hAnsi="Arial" w:cs="Arial"/>
          <w:sz w:val="22"/>
          <w:szCs w:val="22"/>
        </w:rPr>
        <w:t>The partner application displays the payment result to the end user.</w:t>
      </w:r>
    </w:p>
    <w:p w14:paraId="4196B3A4" w14:textId="77777777" w:rsidR="0067645A" w:rsidRDefault="0067645A" w:rsidP="00C9766B">
      <w:pPr>
        <w:pStyle w:val="ListParagraph"/>
        <w:numPr>
          <w:ilvl w:val="0"/>
          <w:numId w:val="40"/>
        </w:numPr>
        <w:spacing w:after="0"/>
        <w:jc w:val="both"/>
        <w:textAlignment w:val="baseline"/>
        <w:rPr>
          <w:rFonts w:ascii="Arial" w:eastAsia="Times New Roman" w:hAnsi="Arial" w:cs="Arial"/>
          <w:sz w:val="22"/>
          <w:szCs w:val="22"/>
        </w:rPr>
      </w:pPr>
      <w:r>
        <w:rPr>
          <w:rFonts w:ascii="Arial" w:eastAsia="Times New Roman" w:hAnsi="Arial" w:cs="Arial"/>
          <w:sz w:val="22"/>
          <w:szCs w:val="22"/>
        </w:rPr>
        <w:lastRenderedPageBreak/>
        <w:t>Cached payment accounts can be saved if desired.</w:t>
      </w:r>
    </w:p>
    <w:p w14:paraId="4D76849A" w14:textId="77777777" w:rsidR="0067645A" w:rsidRDefault="0067645A" w:rsidP="00C9766B">
      <w:pPr>
        <w:spacing w:after="0"/>
        <w:jc w:val="both"/>
        <w:textAlignment w:val="baseline"/>
        <w:rPr>
          <w:rFonts w:ascii="Arial" w:eastAsia="Times New Roman" w:hAnsi="Arial" w:cs="Arial"/>
          <w:sz w:val="22"/>
          <w:szCs w:val="22"/>
        </w:rPr>
      </w:pPr>
    </w:p>
    <w:p w14:paraId="56C9E29C" w14:textId="77777777" w:rsidR="0067645A" w:rsidRDefault="0067645A" w:rsidP="00C9766B">
      <w:pPr>
        <w:jc w:val="both"/>
        <w:rPr>
          <w:rFonts w:ascii="Arial" w:eastAsia="Times New Roman" w:hAnsi="Arial" w:cs="Arial"/>
          <w:sz w:val="22"/>
          <w:szCs w:val="22"/>
        </w:rPr>
      </w:pPr>
      <w:r>
        <w:rPr>
          <w:rFonts w:ascii="Arial" w:eastAsia="Times New Roman" w:hAnsi="Arial" w:cs="Arial"/>
          <w:sz w:val="22"/>
          <w:szCs w:val="22"/>
        </w:rPr>
        <w:t>To initiate saved payment account transactions:</w:t>
      </w:r>
    </w:p>
    <w:p w14:paraId="1A074C45" w14:textId="77777777" w:rsidR="0067645A" w:rsidRDefault="0067645A" w:rsidP="00C9766B">
      <w:pPr>
        <w:pStyle w:val="ListParagraph"/>
        <w:numPr>
          <w:ilvl w:val="0"/>
          <w:numId w:val="41"/>
        </w:numPr>
        <w:spacing w:after="0"/>
        <w:jc w:val="both"/>
        <w:textAlignment w:val="baseline"/>
        <w:rPr>
          <w:rFonts w:ascii="Arial" w:eastAsia="Times New Roman" w:hAnsi="Arial" w:cs="Arial"/>
          <w:sz w:val="22"/>
          <w:szCs w:val="22"/>
        </w:rPr>
      </w:pPr>
      <w:r>
        <w:rPr>
          <w:rFonts w:ascii="Arial" w:eastAsia="Times New Roman" w:hAnsi="Arial" w:cs="Arial"/>
          <w:sz w:val="22"/>
          <w:szCs w:val="22"/>
        </w:rPr>
        <w:t>The partner application calls the Wallet API to authorize saving a payment account.</w:t>
      </w:r>
    </w:p>
    <w:p w14:paraId="2505C57D" w14:textId="77777777" w:rsidR="0067645A" w:rsidRDefault="0067645A" w:rsidP="00C9766B">
      <w:pPr>
        <w:pStyle w:val="ListParagraph"/>
        <w:numPr>
          <w:ilvl w:val="0"/>
          <w:numId w:val="41"/>
        </w:numPr>
        <w:spacing w:after="0"/>
        <w:jc w:val="both"/>
        <w:textAlignment w:val="baseline"/>
        <w:rPr>
          <w:rFonts w:ascii="Arial" w:eastAsia="Times New Roman" w:hAnsi="Arial" w:cs="Arial"/>
          <w:sz w:val="22"/>
          <w:szCs w:val="22"/>
        </w:rPr>
      </w:pPr>
      <w:r>
        <w:rPr>
          <w:rFonts w:ascii="Arial" w:eastAsia="Times New Roman" w:hAnsi="Arial" w:cs="Arial"/>
          <w:sz w:val="22"/>
          <w:szCs w:val="22"/>
        </w:rPr>
        <w:t xml:space="preserve">The Wallet API returns a URL for an </w:t>
      </w:r>
      <w:proofErr w:type="spellStart"/>
      <w:r>
        <w:rPr>
          <w:rFonts w:ascii="Arial" w:eastAsia="Times New Roman" w:hAnsi="Arial" w:cs="Arial"/>
          <w:sz w:val="22"/>
          <w:szCs w:val="22"/>
        </w:rPr>
        <w:t>IFrame</w:t>
      </w:r>
      <w:proofErr w:type="spellEnd"/>
      <w:r>
        <w:rPr>
          <w:rFonts w:ascii="Arial" w:eastAsia="Times New Roman" w:hAnsi="Arial" w:cs="Arial"/>
          <w:sz w:val="22"/>
          <w:szCs w:val="22"/>
        </w:rPr>
        <w:t xml:space="preserve"> to be hosted on a partner application web page.</w:t>
      </w:r>
    </w:p>
    <w:p w14:paraId="69761EC1" w14:textId="77777777" w:rsidR="0067645A" w:rsidRDefault="0067645A" w:rsidP="00C9766B">
      <w:pPr>
        <w:pStyle w:val="ListParagraph"/>
        <w:numPr>
          <w:ilvl w:val="0"/>
          <w:numId w:val="41"/>
        </w:numPr>
        <w:spacing w:after="0"/>
        <w:jc w:val="both"/>
        <w:textAlignment w:val="baseline"/>
        <w:rPr>
          <w:rFonts w:ascii="Arial" w:eastAsia="Times New Roman" w:hAnsi="Arial" w:cs="Arial"/>
          <w:sz w:val="22"/>
          <w:szCs w:val="22"/>
        </w:rPr>
      </w:pPr>
      <w:r>
        <w:rPr>
          <w:rFonts w:ascii="Arial" w:eastAsia="Times New Roman" w:hAnsi="Arial" w:cs="Arial"/>
          <w:sz w:val="22"/>
          <w:szCs w:val="22"/>
        </w:rPr>
        <w:t xml:space="preserve">Customers enter credit card or e-checking data in the </w:t>
      </w:r>
      <w:proofErr w:type="spellStart"/>
      <w:r>
        <w:rPr>
          <w:rFonts w:ascii="Arial" w:eastAsia="Times New Roman" w:hAnsi="Arial" w:cs="Arial"/>
          <w:sz w:val="22"/>
          <w:szCs w:val="22"/>
        </w:rPr>
        <w:t>iFrame</w:t>
      </w:r>
      <w:proofErr w:type="spellEnd"/>
      <w:r>
        <w:rPr>
          <w:rFonts w:ascii="Arial" w:eastAsia="Times New Roman" w:hAnsi="Arial" w:cs="Arial"/>
          <w:sz w:val="22"/>
          <w:szCs w:val="22"/>
        </w:rPr>
        <w:t>, keeping the front-end application out of PCI scope.</w:t>
      </w:r>
    </w:p>
    <w:p w14:paraId="7386C3DA" w14:textId="77777777" w:rsidR="0067645A" w:rsidRDefault="0067645A" w:rsidP="00C9766B">
      <w:pPr>
        <w:pStyle w:val="ListParagraph"/>
        <w:numPr>
          <w:ilvl w:val="0"/>
          <w:numId w:val="41"/>
        </w:numPr>
        <w:spacing w:after="0"/>
        <w:jc w:val="both"/>
        <w:textAlignment w:val="baseline"/>
        <w:rPr>
          <w:rFonts w:ascii="Arial" w:eastAsia="Times New Roman" w:hAnsi="Arial" w:cs="Arial"/>
          <w:sz w:val="22"/>
          <w:szCs w:val="22"/>
        </w:rPr>
      </w:pPr>
      <w:proofErr w:type="gramStart"/>
      <w:r>
        <w:rPr>
          <w:rFonts w:ascii="Arial" w:eastAsia="Times New Roman" w:hAnsi="Arial" w:cs="Arial"/>
          <w:sz w:val="22"/>
          <w:szCs w:val="22"/>
        </w:rPr>
        <w:t>Saved payment accounts</w:t>
      </w:r>
      <w:proofErr w:type="gramEnd"/>
      <w:r>
        <w:rPr>
          <w:rFonts w:ascii="Arial" w:eastAsia="Times New Roman" w:hAnsi="Arial" w:cs="Arial"/>
          <w:sz w:val="22"/>
          <w:szCs w:val="22"/>
        </w:rPr>
        <w:t xml:space="preserve"> are </w:t>
      </w:r>
      <w:proofErr w:type="gramStart"/>
      <w:r>
        <w:rPr>
          <w:rFonts w:ascii="Arial" w:eastAsia="Times New Roman" w:hAnsi="Arial" w:cs="Arial"/>
          <w:sz w:val="22"/>
          <w:szCs w:val="22"/>
        </w:rPr>
        <w:t>referenced</w:t>
      </w:r>
      <w:proofErr w:type="gramEnd"/>
      <w:r>
        <w:rPr>
          <w:rFonts w:ascii="Arial" w:eastAsia="Times New Roman" w:hAnsi="Arial" w:cs="Arial"/>
          <w:sz w:val="22"/>
          <w:szCs w:val="22"/>
        </w:rPr>
        <w:t xml:space="preserve"> by the Wallet API for payment transactions routed to TPE.</w:t>
      </w:r>
    </w:p>
    <w:p w14:paraId="1414780F" w14:textId="77777777" w:rsidR="0067645A" w:rsidRDefault="0067645A" w:rsidP="00C9766B">
      <w:pPr>
        <w:pStyle w:val="ListParagraph"/>
        <w:numPr>
          <w:ilvl w:val="0"/>
          <w:numId w:val="41"/>
        </w:numPr>
        <w:spacing w:after="0"/>
        <w:jc w:val="both"/>
        <w:textAlignment w:val="baseline"/>
        <w:rPr>
          <w:rFonts w:ascii="Arial" w:eastAsia="Times New Roman" w:hAnsi="Arial" w:cs="Arial"/>
          <w:sz w:val="22"/>
          <w:szCs w:val="22"/>
        </w:rPr>
      </w:pPr>
      <w:r>
        <w:rPr>
          <w:rFonts w:ascii="Arial" w:eastAsia="Times New Roman" w:hAnsi="Arial" w:cs="Arial"/>
          <w:sz w:val="22"/>
          <w:szCs w:val="22"/>
        </w:rPr>
        <w:t>TPE returns the payment result to Wallet API which passes the result to the Partner Application as a JSON response.</w:t>
      </w:r>
    </w:p>
    <w:p w14:paraId="704EA6A5" w14:textId="77777777" w:rsidR="0067645A" w:rsidRDefault="0067645A" w:rsidP="00C9766B">
      <w:pPr>
        <w:pStyle w:val="ListParagraph"/>
        <w:numPr>
          <w:ilvl w:val="0"/>
          <w:numId w:val="41"/>
        </w:numPr>
        <w:spacing w:after="0"/>
        <w:jc w:val="both"/>
        <w:textAlignment w:val="baseline"/>
        <w:rPr>
          <w:rFonts w:ascii="Arial" w:eastAsia="Times New Roman" w:hAnsi="Arial" w:cs="Arial"/>
          <w:sz w:val="22"/>
          <w:szCs w:val="22"/>
        </w:rPr>
      </w:pPr>
      <w:r>
        <w:rPr>
          <w:rFonts w:ascii="Arial" w:eastAsia="Times New Roman" w:hAnsi="Arial" w:cs="Arial"/>
          <w:sz w:val="22"/>
          <w:szCs w:val="22"/>
        </w:rPr>
        <w:t>The payment method is encrypted and saved in a PCI compliant vault.</w:t>
      </w:r>
    </w:p>
    <w:p w14:paraId="145C07EC" w14:textId="77777777" w:rsidR="0067645A" w:rsidRDefault="0067645A" w:rsidP="00C9766B">
      <w:pPr>
        <w:pStyle w:val="ListParagraph"/>
        <w:numPr>
          <w:ilvl w:val="0"/>
          <w:numId w:val="41"/>
        </w:numPr>
        <w:spacing w:after="0"/>
        <w:jc w:val="both"/>
        <w:rPr>
          <w:rFonts w:ascii="Arial" w:eastAsia="Times New Roman" w:hAnsi="Arial" w:cs="Arial"/>
          <w:sz w:val="22"/>
          <w:szCs w:val="22"/>
        </w:rPr>
      </w:pPr>
      <w:r>
        <w:rPr>
          <w:rFonts w:ascii="Arial" w:eastAsia="Times New Roman" w:hAnsi="Arial" w:cs="Arial"/>
          <w:sz w:val="22"/>
          <w:szCs w:val="22"/>
        </w:rPr>
        <w:t>Saved payment accounts are referenced by Wallet API user IDs, shared with the partner application.</w:t>
      </w:r>
    </w:p>
    <w:p w14:paraId="29A8A581" w14:textId="77777777" w:rsidR="0067645A" w:rsidRDefault="0067645A" w:rsidP="00FD5982">
      <w:pPr>
        <w:spacing w:after="0"/>
        <w:jc w:val="both"/>
        <w:rPr>
          <w:rFonts w:ascii="Arial" w:hAnsi="Arial" w:cs="Arial"/>
          <w:sz w:val="22"/>
          <w:szCs w:val="22"/>
        </w:rPr>
      </w:pPr>
    </w:p>
    <w:p w14:paraId="45E20541" w14:textId="77777777" w:rsidR="0067645A" w:rsidRDefault="0067645A" w:rsidP="00C9766B">
      <w:pPr>
        <w:jc w:val="both"/>
        <w:rPr>
          <w:rFonts w:ascii="Arial" w:hAnsi="Arial" w:cs="Arial"/>
          <w:sz w:val="22"/>
          <w:szCs w:val="22"/>
          <w:u w:val="single"/>
        </w:rPr>
      </w:pPr>
      <w:proofErr w:type="spellStart"/>
      <w:r>
        <w:rPr>
          <w:rFonts w:ascii="Arial" w:hAnsi="Arial" w:cs="Arial"/>
          <w:sz w:val="22"/>
          <w:szCs w:val="22"/>
          <w:u w:val="single"/>
        </w:rPr>
        <w:t>DirectConnect</w:t>
      </w:r>
      <w:proofErr w:type="spellEnd"/>
    </w:p>
    <w:p w14:paraId="0AF05BB8" w14:textId="77777777" w:rsidR="0067645A" w:rsidRDefault="0067645A" w:rsidP="00C9766B">
      <w:pPr>
        <w:jc w:val="both"/>
        <w:rPr>
          <w:rFonts w:ascii="Arial" w:hAnsi="Arial" w:cs="Arial"/>
          <w:sz w:val="22"/>
          <w:szCs w:val="22"/>
        </w:rPr>
      </w:pPr>
      <w:r>
        <w:rPr>
          <w:rFonts w:ascii="Arial" w:hAnsi="Arial" w:cs="Arial"/>
          <w:sz w:val="22"/>
          <w:szCs w:val="22"/>
        </w:rPr>
        <w:t xml:space="preserve">The second scenario is to use the Application Programming Interfaces (“API’s”) that are available to developers. In this scenario, agency or third party developers write applications that include the checkout pages. Customers fill out all payment information within the application, and once captured, the application communicates with TPE using a standard </w:t>
      </w:r>
      <w:proofErr w:type="spellStart"/>
      <w:r>
        <w:rPr>
          <w:rFonts w:ascii="Arial" w:hAnsi="Arial" w:cs="Arial"/>
          <w:sz w:val="22"/>
          <w:szCs w:val="22"/>
        </w:rPr>
        <w:t>ReST</w:t>
      </w:r>
      <w:proofErr w:type="spellEnd"/>
      <w:r>
        <w:rPr>
          <w:rFonts w:ascii="Arial" w:hAnsi="Arial" w:cs="Arial"/>
          <w:sz w:val="22"/>
          <w:szCs w:val="22"/>
        </w:rPr>
        <w:t xml:space="preserve"> API. TPE processes the payment, based on payment type, and returns either a success or failure code back to the calling application. Based on the code, the calling application displays either a receipt back to the customer or the reason for the failure. TPE supports multiple API languages including:</w:t>
      </w:r>
    </w:p>
    <w:p w14:paraId="41FB51CC" w14:textId="77777777" w:rsidR="0067645A" w:rsidRDefault="0067645A" w:rsidP="00C9766B">
      <w:pPr>
        <w:pStyle w:val="ListBullet"/>
        <w:numPr>
          <w:ilvl w:val="0"/>
          <w:numId w:val="32"/>
        </w:numPr>
        <w:jc w:val="both"/>
        <w:rPr>
          <w:rFonts w:ascii="Arial" w:hAnsi="Arial" w:cs="Arial"/>
        </w:rPr>
      </w:pPr>
      <w:r>
        <w:rPr>
          <w:rFonts w:ascii="Arial" w:hAnsi="Arial" w:cs="Arial"/>
        </w:rPr>
        <w:t>Java</w:t>
      </w:r>
    </w:p>
    <w:p w14:paraId="617DE28A" w14:textId="77777777" w:rsidR="0067645A" w:rsidRDefault="0067645A" w:rsidP="00C9766B">
      <w:pPr>
        <w:pStyle w:val="ListBullet"/>
        <w:numPr>
          <w:ilvl w:val="0"/>
          <w:numId w:val="32"/>
        </w:numPr>
        <w:jc w:val="both"/>
        <w:rPr>
          <w:rFonts w:ascii="Arial" w:hAnsi="Arial" w:cs="Arial"/>
        </w:rPr>
      </w:pPr>
      <w:r>
        <w:rPr>
          <w:rFonts w:ascii="Arial" w:hAnsi="Arial" w:cs="Arial"/>
        </w:rPr>
        <w:t>.NET</w:t>
      </w:r>
    </w:p>
    <w:p w14:paraId="3568A365" w14:textId="77777777" w:rsidR="0067645A" w:rsidRDefault="0067645A" w:rsidP="00C9766B">
      <w:pPr>
        <w:pStyle w:val="ListBullet"/>
        <w:numPr>
          <w:ilvl w:val="0"/>
          <w:numId w:val="32"/>
        </w:numPr>
        <w:jc w:val="both"/>
        <w:rPr>
          <w:rFonts w:ascii="Arial" w:hAnsi="Arial" w:cs="Arial"/>
        </w:rPr>
      </w:pPr>
      <w:r>
        <w:rPr>
          <w:rFonts w:ascii="Arial" w:hAnsi="Arial" w:cs="Arial"/>
        </w:rPr>
        <w:t>Perl</w:t>
      </w:r>
    </w:p>
    <w:p w14:paraId="0A513CAD" w14:textId="77777777" w:rsidR="0067645A" w:rsidRDefault="0067645A" w:rsidP="00C9766B">
      <w:pPr>
        <w:pStyle w:val="ListBullet"/>
        <w:numPr>
          <w:ilvl w:val="0"/>
          <w:numId w:val="32"/>
        </w:numPr>
        <w:jc w:val="both"/>
        <w:rPr>
          <w:rFonts w:ascii="Arial" w:hAnsi="Arial" w:cs="Arial"/>
        </w:rPr>
      </w:pPr>
      <w:r>
        <w:rPr>
          <w:rFonts w:ascii="Arial" w:hAnsi="Arial" w:cs="Arial"/>
        </w:rPr>
        <w:t>PHP</w:t>
      </w:r>
    </w:p>
    <w:p w14:paraId="69916A4C" w14:textId="77777777" w:rsidR="0067645A" w:rsidRDefault="0067645A" w:rsidP="00C9766B">
      <w:pPr>
        <w:widowControl w:val="0"/>
        <w:autoSpaceDE w:val="0"/>
        <w:autoSpaceDN w:val="0"/>
        <w:adjustRightInd w:val="0"/>
        <w:spacing w:after="0"/>
        <w:jc w:val="both"/>
        <w:rPr>
          <w:rFonts w:ascii="Arial" w:hAnsi="Arial" w:cs="Arial"/>
          <w:color w:val="000000" w:themeColor="text1"/>
          <w:sz w:val="22"/>
          <w:szCs w:val="22"/>
        </w:rPr>
      </w:pPr>
      <w:r>
        <w:rPr>
          <w:rFonts w:ascii="Arial" w:hAnsi="Arial" w:cs="Arial"/>
          <w:sz w:val="22"/>
          <w:szCs w:val="22"/>
        </w:rPr>
        <w:br/>
      </w:r>
      <w:r>
        <w:rPr>
          <w:rFonts w:ascii="Arial" w:hAnsi="Arial" w:cs="Arial"/>
          <w:color w:val="000000" w:themeColor="text1"/>
          <w:sz w:val="22"/>
          <w:szCs w:val="22"/>
        </w:rPr>
        <w:t xml:space="preserve">Note: If the </w:t>
      </w:r>
      <w:proofErr w:type="spellStart"/>
      <w:r>
        <w:rPr>
          <w:rFonts w:ascii="Arial" w:hAnsi="Arial" w:cs="Arial"/>
          <w:color w:val="000000" w:themeColor="text1"/>
          <w:sz w:val="22"/>
          <w:szCs w:val="22"/>
        </w:rPr>
        <w:t>DirectConnect</w:t>
      </w:r>
      <w:proofErr w:type="spellEnd"/>
      <w:r>
        <w:rPr>
          <w:rFonts w:ascii="Arial" w:hAnsi="Arial" w:cs="Arial"/>
          <w:color w:val="000000" w:themeColor="text1"/>
          <w:sz w:val="22"/>
          <w:szCs w:val="22"/>
        </w:rPr>
        <w:t xml:space="preserve"> method is approved by ITS and DFA the awarded vendor must provide </w:t>
      </w:r>
      <w:r>
        <w:rPr>
          <w:rFonts w:ascii="Arial" w:hAnsi="Arial" w:cs="Arial"/>
          <w:sz w:val="22"/>
          <w:szCs w:val="22"/>
        </w:rPr>
        <w:t xml:space="preserve">Tyler MS </w:t>
      </w:r>
      <w:r>
        <w:rPr>
          <w:rFonts w:ascii="Arial" w:hAnsi="Arial" w:cs="Arial"/>
          <w:color w:val="000000" w:themeColor="text1"/>
          <w:sz w:val="22"/>
          <w:szCs w:val="22"/>
        </w:rPr>
        <w:t xml:space="preserve">and the State proof of their </w:t>
      </w:r>
      <w:proofErr w:type="gramStart"/>
      <w:r>
        <w:rPr>
          <w:rFonts w:ascii="Arial" w:hAnsi="Arial" w:cs="Arial"/>
          <w:color w:val="000000" w:themeColor="text1"/>
          <w:sz w:val="22"/>
          <w:szCs w:val="22"/>
        </w:rPr>
        <w:t>software’s</w:t>
      </w:r>
      <w:proofErr w:type="gramEnd"/>
      <w:r>
        <w:rPr>
          <w:rFonts w:ascii="Arial" w:hAnsi="Arial" w:cs="Arial"/>
          <w:color w:val="000000" w:themeColor="text1"/>
          <w:sz w:val="22"/>
          <w:szCs w:val="22"/>
        </w:rPr>
        <w:t xml:space="preserve"> (and any applicable hardware used for hosting the software) PCI compliance through a SAQ-D service provider version or a PCI Attestation of Compliance (</w:t>
      </w:r>
      <w:proofErr w:type="spellStart"/>
      <w:r>
        <w:rPr>
          <w:rFonts w:ascii="Arial" w:hAnsi="Arial" w:cs="Arial"/>
          <w:color w:val="000000" w:themeColor="text1"/>
          <w:sz w:val="22"/>
          <w:szCs w:val="22"/>
        </w:rPr>
        <w:t>AoC</w:t>
      </w:r>
      <w:proofErr w:type="spellEnd"/>
      <w:r>
        <w:rPr>
          <w:rFonts w:ascii="Arial" w:hAnsi="Arial" w:cs="Arial"/>
          <w:color w:val="000000" w:themeColor="text1"/>
          <w:sz w:val="22"/>
          <w:szCs w:val="22"/>
        </w:rPr>
        <w:t xml:space="preserve">) completed by a Qualified Security Assessor (QSA). Approved Scanning Vendor (ASV) quarterly application scans will also be required to be submitted to Tyler MS. </w:t>
      </w:r>
    </w:p>
    <w:p w14:paraId="0AA7E152" w14:textId="77777777" w:rsidR="0067645A" w:rsidRDefault="0067645A" w:rsidP="00FD5982">
      <w:pPr>
        <w:widowControl w:val="0"/>
        <w:autoSpaceDE w:val="0"/>
        <w:autoSpaceDN w:val="0"/>
        <w:adjustRightInd w:val="0"/>
        <w:spacing w:after="240"/>
        <w:jc w:val="both"/>
        <w:rPr>
          <w:rFonts w:ascii="Arial" w:hAnsi="Arial" w:cs="Arial"/>
          <w:sz w:val="22"/>
          <w:szCs w:val="22"/>
        </w:rPr>
      </w:pPr>
      <w:r>
        <w:br/>
      </w:r>
      <w:proofErr w:type="spellStart"/>
      <w:r>
        <w:rPr>
          <w:rFonts w:ascii="Arial" w:hAnsi="Arial" w:cs="Arial"/>
          <w:sz w:val="22"/>
          <w:szCs w:val="22"/>
        </w:rPr>
        <w:t>DirectConnect</w:t>
      </w:r>
      <w:proofErr w:type="spellEnd"/>
      <w:r>
        <w:rPr>
          <w:rFonts w:ascii="Arial" w:hAnsi="Arial" w:cs="Arial"/>
          <w:sz w:val="22"/>
          <w:szCs w:val="22"/>
        </w:rPr>
        <w:t xml:space="preserve"> Integration Outline: Before </w:t>
      </w:r>
      <w:proofErr w:type="gramStart"/>
      <w:r>
        <w:rPr>
          <w:rFonts w:ascii="Arial" w:hAnsi="Arial" w:cs="Arial"/>
          <w:sz w:val="22"/>
          <w:szCs w:val="22"/>
        </w:rPr>
        <w:t>a payment</w:t>
      </w:r>
      <w:proofErr w:type="gramEnd"/>
      <w:r>
        <w:rPr>
          <w:rFonts w:ascii="Arial" w:hAnsi="Arial" w:cs="Arial"/>
          <w:sz w:val="22"/>
          <w:szCs w:val="22"/>
        </w:rPr>
        <w:t xml:space="preserve"> can be processed inside of TPE, there are preliminary </w:t>
      </w:r>
      <w:proofErr w:type="gramStart"/>
      <w:r>
        <w:rPr>
          <w:rFonts w:ascii="Arial" w:hAnsi="Arial" w:cs="Arial"/>
          <w:sz w:val="22"/>
          <w:szCs w:val="22"/>
        </w:rPr>
        <w:t>steps</w:t>
      </w:r>
      <w:proofErr w:type="gramEnd"/>
      <w:r>
        <w:rPr>
          <w:rFonts w:ascii="Arial" w:hAnsi="Arial" w:cs="Arial"/>
          <w:sz w:val="22"/>
          <w:szCs w:val="22"/>
        </w:rPr>
        <w:t xml:space="preserve"> </w:t>
      </w:r>
      <w:proofErr w:type="gramStart"/>
      <w:r>
        <w:rPr>
          <w:rFonts w:ascii="Arial" w:hAnsi="Arial" w:cs="Arial"/>
          <w:sz w:val="22"/>
          <w:szCs w:val="22"/>
        </w:rPr>
        <w:t>needs</w:t>
      </w:r>
      <w:proofErr w:type="gramEnd"/>
      <w:r>
        <w:rPr>
          <w:rFonts w:ascii="Arial" w:hAnsi="Arial" w:cs="Arial"/>
          <w:sz w:val="22"/>
          <w:szCs w:val="22"/>
        </w:rPr>
        <w:t xml:space="preserve"> to happen. Couple of setup needs to happen before an order can be made. This setup includes:</w:t>
      </w:r>
    </w:p>
    <w:p w14:paraId="657BB5FE" w14:textId="77777777" w:rsidR="0067645A" w:rsidRDefault="0067645A" w:rsidP="00C9766B">
      <w:pPr>
        <w:pStyle w:val="ListParagraph"/>
        <w:widowControl w:val="0"/>
        <w:numPr>
          <w:ilvl w:val="0"/>
          <w:numId w:val="42"/>
        </w:numPr>
        <w:autoSpaceDE w:val="0"/>
        <w:autoSpaceDN w:val="0"/>
        <w:adjustRightInd w:val="0"/>
        <w:spacing w:after="0"/>
        <w:jc w:val="both"/>
        <w:rPr>
          <w:rFonts w:ascii="Arial" w:hAnsi="Arial" w:cs="Arial"/>
          <w:sz w:val="22"/>
          <w:szCs w:val="22"/>
        </w:rPr>
      </w:pPr>
      <w:r>
        <w:rPr>
          <w:rFonts w:ascii="Arial" w:hAnsi="Arial" w:cs="Arial"/>
          <w:sz w:val="22"/>
          <w:szCs w:val="22"/>
        </w:rPr>
        <w:t>Processor Setup</w:t>
      </w:r>
    </w:p>
    <w:p w14:paraId="5601BBBF" w14:textId="77777777" w:rsidR="0067645A" w:rsidRDefault="0067645A" w:rsidP="00C9766B">
      <w:pPr>
        <w:pStyle w:val="ListParagraph"/>
        <w:widowControl w:val="0"/>
        <w:numPr>
          <w:ilvl w:val="0"/>
          <w:numId w:val="42"/>
        </w:numPr>
        <w:autoSpaceDE w:val="0"/>
        <w:autoSpaceDN w:val="0"/>
        <w:adjustRightInd w:val="0"/>
        <w:spacing w:after="0"/>
        <w:jc w:val="both"/>
        <w:rPr>
          <w:rFonts w:ascii="Arial" w:hAnsi="Arial" w:cs="Arial"/>
          <w:sz w:val="22"/>
          <w:szCs w:val="22"/>
        </w:rPr>
      </w:pPr>
      <w:r>
        <w:rPr>
          <w:rFonts w:ascii="Arial" w:hAnsi="Arial" w:cs="Arial"/>
          <w:sz w:val="22"/>
          <w:szCs w:val="22"/>
        </w:rPr>
        <w:t>Service Code Setup</w:t>
      </w:r>
    </w:p>
    <w:p w14:paraId="1B8C6C80" w14:textId="77777777" w:rsidR="0067645A" w:rsidRDefault="0067645A" w:rsidP="00C9766B">
      <w:pPr>
        <w:pStyle w:val="ListParagraph"/>
        <w:widowControl w:val="0"/>
        <w:numPr>
          <w:ilvl w:val="0"/>
          <w:numId w:val="42"/>
        </w:numPr>
        <w:autoSpaceDE w:val="0"/>
        <w:autoSpaceDN w:val="0"/>
        <w:adjustRightInd w:val="0"/>
        <w:spacing w:after="0"/>
        <w:jc w:val="both"/>
        <w:rPr>
          <w:rFonts w:ascii="Arial" w:hAnsi="Arial" w:cs="Arial"/>
          <w:sz w:val="22"/>
          <w:szCs w:val="22"/>
        </w:rPr>
      </w:pPr>
      <w:r>
        <w:rPr>
          <w:rFonts w:ascii="Arial" w:hAnsi="Arial" w:cs="Arial"/>
          <w:sz w:val="22"/>
          <w:szCs w:val="22"/>
        </w:rPr>
        <w:t>Merchant Setup</w:t>
      </w:r>
    </w:p>
    <w:p w14:paraId="752B235E" w14:textId="77777777" w:rsidR="0067645A" w:rsidRDefault="0067645A" w:rsidP="00FD5982">
      <w:pPr>
        <w:widowControl w:val="0"/>
        <w:autoSpaceDE w:val="0"/>
        <w:autoSpaceDN w:val="0"/>
        <w:adjustRightInd w:val="0"/>
        <w:spacing w:before="240" w:after="0"/>
        <w:jc w:val="both"/>
        <w:rPr>
          <w:rFonts w:ascii="Arial" w:hAnsi="Arial" w:cs="Arial"/>
          <w:sz w:val="22"/>
          <w:szCs w:val="22"/>
        </w:rPr>
      </w:pPr>
      <w:r>
        <w:rPr>
          <w:rFonts w:ascii="Arial" w:hAnsi="Arial" w:cs="Arial"/>
          <w:sz w:val="22"/>
          <w:szCs w:val="22"/>
        </w:rPr>
        <w:t>This setup can be done via Tyler representative. Once this setup is done, the service code becomes the key element for all order requests. An Order is the basic transaction container in TPE. It is a detailed request for certain goods or services and represents all the instructions and information needed from the customer for the merchant to collect money. An order contains information about the customer, items purchased, fees and taxes, payment information, billing address, shipping address, and so forth.</w:t>
      </w:r>
    </w:p>
    <w:p w14:paraId="12F8C82F" w14:textId="77777777" w:rsidR="0067645A" w:rsidRDefault="0067645A" w:rsidP="00C9766B">
      <w:pPr>
        <w:widowControl w:val="0"/>
        <w:autoSpaceDE w:val="0"/>
        <w:autoSpaceDN w:val="0"/>
        <w:adjustRightInd w:val="0"/>
        <w:spacing w:after="0"/>
        <w:jc w:val="both"/>
        <w:rPr>
          <w:rFonts w:ascii="Arial" w:hAnsi="Arial" w:cs="Arial"/>
          <w:sz w:val="22"/>
          <w:szCs w:val="22"/>
        </w:rPr>
      </w:pPr>
      <w:r>
        <w:rPr>
          <w:rFonts w:ascii="Arial" w:hAnsi="Arial" w:cs="Arial"/>
          <w:sz w:val="22"/>
          <w:szCs w:val="22"/>
        </w:rPr>
        <w:lastRenderedPageBreak/>
        <w:t> </w:t>
      </w:r>
    </w:p>
    <w:p w14:paraId="6D247070" w14:textId="77777777" w:rsidR="0067645A" w:rsidRDefault="0067645A" w:rsidP="00C9766B">
      <w:pPr>
        <w:widowControl w:val="0"/>
        <w:autoSpaceDE w:val="0"/>
        <w:autoSpaceDN w:val="0"/>
        <w:adjustRightInd w:val="0"/>
        <w:spacing w:after="0"/>
        <w:jc w:val="both"/>
        <w:rPr>
          <w:rFonts w:ascii="Arial" w:hAnsi="Arial" w:cs="Arial"/>
          <w:sz w:val="22"/>
          <w:szCs w:val="22"/>
        </w:rPr>
      </w:pPr>
      <w:r>
        <w:rPr>
          <w:rFonts w:ascii="Arial" w:hAnsi="Arial" w:cs="Arial"/>
          <w:sz w:val="22"/>
          <w:szCs w:val="22"/>
        </w:rPr>
        <w:t xml:space="preserve">TPE uses the term order, along with the terms payment and credit to represent payment data for all electronic payments. An order is created by the </w:t>
      </w:r>
      <w:proofErr w:type="gramStart"/>
      <w:r>
        <w:rPr>
          <w:rFonts w:ascii="Arial" w:hAnsi="Arial" w:cs="Arial"/>
          <w:sz w:val="22"/>
          <w:szCs w:val="22"/>
        </w:rPr>
        <w:t>client</w:t>
      </w:r>
      <w:proofErr w:type="gramEnd"/>
      <w:r>
        <w:rPr>
          <w:rFonts w:ascii="Arial" w:hAnsi="Arial" w:cs="Arial"/>
          <w:sz w:val="22"/>
          <w:szCs w:val="22"/>
        </w:rPr>
        <w:t xml:space="preserve"> application while the customer is placing an order for goods or services. Transactions flow between the merchant and the financial institution during the life cycle of the order. These transactions can be broken into two broad categories: payments (monies transferred to the merchant from the customer) and credits (monies returned to the customer, such as when goods or services are returned and payment is refunded). As order processing continues, payments and credits are created and modified.</w:t>
      </w:r>
    </w:p>
    <w:p w14:paraId="29FA6FD3" w14:textId="77777777" w:rsidR="0067645A" w:rsidRDefault="0067645A" w:rsidP="00C9766B">
      <w:pPr>
        <w:widowControl w:val="0"/>
        <w:autoSpaceDE w:val="0"/>
        <w:autoSpaceDN w:val="0"/>
        <w:adjustRightInd w:val="0"/>
        <w:spacing w:after="0"/>
        <w:jc w:val="both"/>
        <w:rPr>
          <w:rFonts w:ascii="Arial" w:hAnsi="Arial" w:cs="Arial"/>
          <w:sz w:val="22"/>
          <w:szCs w:val="22"/>
        </w:rPr>
      </w:pPr>
      <w:r>
        <w:rPr>
          <w:rFonts w:ascii="Arial" w:hAnsi="Arial" w:cs="Arial"/>
          <w:sz w:val="22"/>
          <w:szCs w:val="22"/>
        </w:rPr>
        <w:t> </w:t>
      </w:r>
    </w:p>
    <w:p w14:paraId="07A0C44D" w14:textId="77777777" w:rsidR="0067645A" w:rsidRDefault="0067645A" w:rsidP="00C9766B">
      <w:pPr>
        <w:widowControl w:val="0"/>
        <w:autoSpaceDE w:val="0"/>
        <w:autoSpaceDN w:val="0"/>
        <w:adjustRightInd w:val="0"/>
        <w:spacing w:after="0"/>
        <w:jc w:val="both"/>
        <w:rPr>
          <w:rFonts w:ascii="Arial" w:hAnsi="Arial" w:cs="Arial"/>
          <w:sz w:val="22"/>
          <w:szCs w:val="22"/>
        </w:rPr>
      </w:pPr>
      <w:r>
        <w:rPr>
          <w:rFonts w:ascii="Arial" w:hAnsi="Arial" w:cs="Arial"/>
          <w:sz w:val="22"/>
          <w:szCs w:val="22"/>
        </w:rPr>
        <w:t>The basic steps for creating an Order and processing a payment are as follows:</w:t>
      </w:r>
    </w:p>
    <w:p w14:paraId="3D977EDC" w14:textId="77777777" w:rsidR="0067645A" w:rsidRDefault="0067645A" w:rsidP="00C9766B">
      <w:pPr>
        <w:widowControl w:val="0"/>
        <w:autoSpaceDE w:val="0"/>
        <w:autoSpaceDN w:val="0"/>
        <w:adjustRightInd w:val="0"/>
        <w:spacing w:after="0"/>
        <w:jc w:val="both"/>
        <w:rPr>
          <w:rFonts w:ascii="Arial" w:hAnsi="Arial" w:cs="Arial"/>
          <w:sz w:val="22"/>
          <w:szCs w:val="22"/>
        </w:rPr>
      </w:pPr>
      <w:r>
        <w:rPr>
          <w:rFonts w:ascii="Arial" w:hAnsi="Arial" w:cs="Arial"/>
          <w:sz w:val="22"/>
          <w:szCs w:val="22"/>
        </w:rPr>
        <w:t> </w:t>
      </w:r>
    </w:p>
    <w:p w14:paraId="77EAA34C" w14:textId="77777777" w:rsidR="0067645A" w:rsidRDefault="0067645A" w:rsidP="00FD5982">
      <w:pPr>
        <w:widowControl w:val="0"/>
        <w:numPr>
          <w:ilvl w:val="0"/>
          <w:numId w:val="43"/>
        </w:numPr>
        <w:autoSpaceDE w:val="0"/>
        <w:autoSpaceDN w:val="0"/>
        <w:adjustRightInd w:val="0"/>
        <w:spacing w:after="0"/>
        <w:ind w:left="270" w:hanging="270"/>
        <w:jc w:val="both"/>
        <w:rPr>
          <w:rFonts w:ascii="Arial" w:hAnsi="Arial" w:cs="Arial"/>
          <w:sz w:val="22"/>
          <w:szCs w:val="22"/>
        </w:rPr>
      </w:pPr>
      <w:r>
        <w:rPr>
          <w:rFonts w:ascii="Arial" w:hAnsi="Arial" w:cs="Arial"/>
          <w:b/>
          <w:bCs/>
          <w:sz w:val="22"/>
          <w:szCs w:val="22"/>
        </w:rPr>
        <w:t>Submit a new Order Request to TPE:</w:t>
      </w:r>
      <w:r>
        <w:rPr>
          <w:rFonts w:ascii="Arial" w:hAnsi="Arial" w:cs="Arial"/>
          <w:sz w:val="22"/>
          <w:szCs w:val="22"/>
        </w:rPr>
        <w:t xml:space="preserve"> The client application will create a request that includes a Merchant Id, a Merchant Key, and a Service Code. Along with this preliminary information, the client application will need to </w:t>
      </w:r>
      <w:proofErr w:type="gramStart"/>
      <w:r>
        <w:rPr>
          <w:rFonts w:ascii="Arial" w:hAnsi="Arial" w:cs="Arial"/>
          <w:sz w:val="22"/>
          <w:szCs w:val="22"/>
        </w:rPr>
        <w:t>send</w:t>
      </w:r>
      <w:proofErr w:type="gramEnd"/>
      <w:r>
        <w:rPr>
          <w:rFonts w:ascii="Arial" w:hAnsi="Arial" w:cs="Arial"/>
          <w:sz w:val="22"/>
          <w:szCs w:val="22"/>
        </w:rPr>
        <w:t xml:space="preserve"> </w:t>
      </w:r>
      <w:proofErr w:type="gramStart"/>
      <w:r>
        <w:rPr>
          <w:rFonts w:ascii="Arial" w:hAnsi="Arial" w:cs="Arial"/>
          <w:sz w:val="22"/>
          <w:szCs w:val="22"/>
        </w:rPr>
        <w:t>these</w:t>
      </w:r>
      <w:proofErr w:type="gramEnd"/>
      <w:r>
        <w:rPr>
          <w:rFonts w:ascii="Arial" w:hAnsi="Arial" w:cs="Arial"/>
          <w:sz w:val="22"/>
          <w:szCs w:val="22"/>
        </w:rPr>
        <w:t xml:space="preserve"> following fields which </w:t>
      </w:r>
      <w:proofErr w:type="gramStart"/>
      <w:r>
        <w:rPr>
          <w:rFonts w:ascii="Arial" w:hAnsi="Arial" w:cs="Arial"/>
          <w:sz w:val="22"/>
          <w:szCs w:val="22"/>
        </w:rPr>
        <w:t>represents</w:t>
      </w:r>
      <w:proofErr w:type="gramEnd"/>
      <w:r>
        <w:rPr>
          <w:rFonts w:ascii="Arial" w:hAnsi="Arial" w:cs="Arial"/>
          <w:sz w:val="22"/>
          <w:szCs w:val="22"/>
        </w:rPr>
        <w:t xml:space="preserve"> the payment:</w:t>
      </w:r>
    </w:p>
    <w:p w14:paraId="7F879198" w14:textId="77777777" w:rsidR="0067645A" w:rsidRDefault="0067645A" w:rsidP="00C9766B">
      <w:pPr>
        <w:pStyle w:val="ListParagraph"/>
        <w:widowControl w:val="0"/>
        <w:numPr>
          <w:ilvl w:val="0"/>
          <w:numId w:val="44"/>
        </w:numPr>
        <w:tabs>
          <w:tab w:val="left" w:pos="220"/>
          <w:tab w:val="left" w:pos="720"/>
        </w:tabs>
        <w:autoSpaceDE w:val="0"/>
        <w:autoSpaceDN w:val="0"/>
        <w:adjustRightInd w:val="0"/>
        <w:spacing w:after="0"/>
        <w:jc w:val="both"/>
        <w:rPr>
          <w:rFonts w:ascii="Arial" w:hAnsi="Arial" w:cs="Arial"/>
          <w:sz w:val="22"/>
          <w:szCs w:val="22"/>
        </w:rPr>
      </w:pPr>
      <w:r>
        <w:rPr>
          <w:rFonts w:ascii="Arial" w:hAnsi="Arial" w:cs="Arial"/>
          <w:sz w:val="22"/>
          <w:szCs w:val="22"/>
        </w:rPr>
        <w:t>Payment Account</w:t>
      </w:r>
    </w:p>
    <w:p w14:paraId="0EE95F25" w14:textId="77777777" w:rsidR="0067645A" w:rsidRDefault="0067645A" w:rsidP="00C9766B">
      <w:pPr>
        <w:pStyle w:val="ListParagraph"/>
        <w:widowControl w:val="0"/>
        <w:numPr>
          <w:ilvl w:val="1"/>
          <w:numId w:val="44"/>
        </w:numPr>
        <w:tabs>
          <w:tab w:val="left" w:pos="220"/>
          <w:tab w:val="left" w:pos="720"/>
        </w:tabs>
        <w:autoSpaceDE w:val="0"/>
        <w:autoSpaceDN w:val="0"/>
        <w:adjustRightInd w:val="0"/>
        <w:spacing w:after="0"/>
        <w:jc w:val="both"/>
        <w:rPr>
          <w:rFonts w:ascii="Arial" w:hAnsi="Arial" w:cs="Arial"/>
          <w:sz w:val="22"/>
          <w:szCs w:val="22"/>
        </w:rPr>
      </w:pPr>
      <w:r>
        <w:rPr>
          <w:rFonts w:ascii="Arial" w:hAnsi="Arial" w:cs="Arial"/>
          <w:sz w:val="22"/>
          <w:szCs w:val="22"/>
        </w:rPr>
        <w:t xml:space="preserve">Type of transaction: </w:t>
      </w:r>
      <w:proofErr w:type="spellStart"/>
      <w:r>
        <w:rPr>
          <w:rFonts w:ascii="Arial" w:hAnsi="Arial" w:cs="Arial"/>
          <w:sz w:val="22"/>
          <w:szCs w:val="22"/>
        </w:rPr>
        <w:t>ecomm</w:t>
      </w:r>
      <w:proofErr w:type="spellEnd"/>
      <w:r>
        <w:rPr>
          <w:rFonts w:ascii="Arial" w:hAnsi="Arial" w:cs="Arial"/>
          <w:sz w:val="22"/>
          <w:szCs w:val="22"/>
        </w:rPr>
        <w:t xml:space="preserve">, retail, </w:t>
      </w:r>
      <w:proofErr w:type="spellStart"/>
      <w:r>
        <w:rPr>
          <w:rFonts w:ascii="Arial" w:hAnsi="Arial" w:cs="Arial"/>
          <w:sz w:val="22"/>
          <w:szCs w:val="22"/>
        </w:rPr>
        <w:t>etc</w:t>
      </w:r>
      <w:proofErr w:type="spellEnd"/>
    </w:p>
    <w:p w14:paraId="29F3C9B6" w14:textId="77777777" w:rsidR="0067645A" w:rsidRDefault="0067645A" w:rsidP="00C9766B">
      <w:pPr>
        <w:pStyle w:val="ListParagraph"/>
        <w:widowControl w:val="0"/>
        <w:numPr>
          <w:ilvl w:val="1"/>
          <w:numId w:val="44"/>
        </w:numPr>
        <w:tabs>
          <w:tab w:val="left" w:pos="220"/>
          <w:tab w:val="left" w:pos="720"/>
        </w:tabs>
        <w:autoSpaceDE w:val="0"/>
        <w:autoSpaceDN w:val="0"/>
        <w:adjustRightInd w:val="0"/>
        <w:spacing w:after="0"/>
        <w:jc w:val="both"/>
        <w:rPr>
          <w:rFonts w:ascii="Arial" w:hAnsi="Arial" w:cs="Arial"/>
          <w:sz w:val="22"/>
          <w:szCs w:val="22"/>
        </w:rPr>
      </w:pPr>
      <w:r>
        <w:rPr>
          <w:rFonts w:ascii="Arial" w:hAnsi="Arial" w:cs="Arial"/>
          <w:sz w:val="22"/>
          <w:szCs w:val="22"/>
        </w:rPr>
        <w:t xml:space="preserve">Action: sale, authorization, refund, </w:t>
      </w:r>
      <w:proofErr w:type="spellStart"/>
      <w:r>
        <w:rPr>
          <w:rFonts w:ascii="Arial" w:hAnsi="Arial" w:cs="Arial"/>
          <w:sz w:val="22"/>
          <w:szCs w:val="22"/>
        </w:rPr>
        <w:t>etc</w:t>
      </w:r>
      <w:proofErr w:type="spellEnd"/>
    </w:p>
    <w:p w14:paraId="088E1899" w14:textId="77777777" w:rsidR="0067645A" w:rsidRDefault="0067645A" w:rsidP="00C9766B">
      <w:pPr>
        <w:pStyle w:val="ListParagraph"/>
        <w:widowControl w:val="0"/>
        <w:numPr>
          <w:ilvl w:val="1"/>
          <w:numId w:val="44"/>
        </w:numPr>
        <w:tabs>
          <w:tab w:val="left" w:pos="220"/>
          <w:tab w:val="left" w:pos="720"/>
        </w:tabs>
        <w:autoSpaceDE w:val="0"/>
        <w:autoSpaceDN w:val="0"/>
        <w:adjustRightInd w:val="0"/>
        <w:spacing w:after="0"/>
        <w:jc w:val="both"/>
        <w:rPr>
          <w:rFonts w:ascii="Arial" w:hAnsi="Arial" w:cs="Arial"/>
          <w:sz w:val="22"/>
          <w:szCs w:val="22"/>
        </w:rPr>
      </w:pPr>
      <w:r>
        <w:rPr>
          <w:rFonts w:ascii="Arial" w:hAnsi="Arial" w:cs="Arial"/>
          <w:sz w:val="22"/>
          <w:szCs w:val="22"/>
        </w:rPr>
        <w:t>Billing Address</w:t>
      </w:r>
    </w:p>
    <w:p w14:paraId="4E525204" w14:textId="77777777" w:rsidR="0067645A" w:rsidRDefault="0067645A" w:rsidP="00C9766B">
      <w:pPr>
        <w:pStyle w:val="ListParagraph"/>
        <w:widowControl w:val="0"/>
        <w:numPr>
          <w:ilvl w:val="1"/>
          <w:numId w:val="44"/>
        </w:numPr>
        <w:tabs>
          <w:tab w:val="left" w:pos="220"/>
          <w:tab w:val="left" w:pos="720"/>
        </w:tabs>
        <w:autoSpaceDE w:val="0"/>
        <w:autoSpaceDN w:val="0"/>
        <w:adjustRightInd w:val="0"/>
        <w:spacing w:after="0"/>
        <w:jc w:val="both"/>
        <w:rPr>
          <w:rFonts w:ascii="Arial" w:hAnsi="Arial" w:cs="Arial"/>
          <w:sz w:val="22"/>
          <w:szCs w:val="22"/>
        </w:rPr>
      </w:pPr>
      <w:proofErr w:type="spellStart"/>
      <w:r>
        <w:rPr>
          <w:rFonts w:ascii="Arial" w:hAnsi="Arial" w:cs="Arial"/>
          <w:sz w:val="22"/>
          <w:szCs w:val="22"/>
        </w:rPr>
        <w:t>CardData</w:t>
      </w:r>
      <w:proofErr w:type="spellEnd"/>
      <w:r>
        <w:rPr>
          <w:rFonts w:ascii="Arial" w:hAnsi="Arial" w:cs="Arial"/>
          <w:sz w:val="22"/>
          <w:szCs w:val="22"/>
        </w:rPr>
        <w:t xml:space="preserve">: Credit Card, ACH, Cash, </w:t>
      </w:r>
      <w:proofErr w:type="spellStart"/>
      <w:r>
        <w:rPr>
          <w:rFonts w:ascii="Arial" w:hAnsi="Arial" w:cs="Arial"/>
          <w:sz w:val="22"/>
          <w:szCs w:val="22"/>
        </w:rPr>
        <w:t>etc</w:t>
      </w:r>
      <w:proofErr w:type="spellEnd"/>
    </w:p>
    <w:p w14:paraId="47213247" w14:textId="77777777" w:rsidR="0067645A" w:rsidRDefault="0067645A" w:rsidP="00C9766B">
      <w:pPr>
        <w:pStyle w:val="ListParagraph"/>
        <w:widowControl w:val="0"/>
        <w:numPr>
          <w:ilvl w:val="0"/>
          <w:numId w:val="44"/>
        </w:numPr>
        <w:tabs>
          <w:tab w:val="left" w:pos="220"/>
          <w:tab w:val="left" w:pos="720"/>
        </w:tabs>
        <w:autoSpaceDE w:val="0"/>
        <w:autoSpaceDN w:val="0"/>
        <w:adjustRightInd w:val="0"/>
        <w:spacing w:after="0"/>
        <w:jc w:val="both"/>
        <w:rPr>
          <w:rFonts w:ascii="Arial" w:hAnsi="Arial" w:cs="Arial"/>
          <w:sz w:val="22"/>
          <w:szCs w:val="22"/>
        </w:rPr>
      </w:pPr>
      <w:r>
        <w:rPr>
          <w:rFonts w:ascii="Arial" w:hAnsi="Arial" w:cs="Arial"/>
          <w:sz w:val="22"/>
          <w:szCs w:val="22"/>
        </w:rPr>
        <w:t>Items</w:t>
      </w:r>
    </w:p>
    <w:p w14:paraId="5F92AAED" w14:textId="77777777" w:rsidR="0067645A" w:rsidRDefault="0067645A" w:rsidP="00C9766B">
      <w:pPr>
        <w:pStyle w:val="ListParagraph"/>
        <w:widowControl w:val="0"/>
        <w:numPr>
          <w:ilvl w:val="1"/>
          <w:numId w:val="44"/>
        </w:numPr>
        <w:tabs>
          <w:tab w:val="left" w:pos="220"/>
          <w:tab w:val="left" w:pos="720"/>
        </w:tabs>
        <w:autoSpaceDE w:val="0"/>
        <w:autoSpaceDN w:val="0"/>
        <w:adjustRightInd w:val="0"/>
        <w:spacing w:after="0"/>
        <w:jc w:val="both"/>
        <w:rPr>
          <w:rFonts w:ascii="Arial" w:hAnsi="Arial" w:cs="Arial"/>
          <w:sz w:val="22"/>
          <w:szCs w:val="22"/>
        </w:rPr>
      </w:pPr>
      <w:r>
        <w:rPr>
          <w:rFonts w:ascii="Arial" w:hAnsi="Arial" w:cs="Arial"/>
          <w:sz w:val="22"/>
          <w:szCs w:val="22"/>
        </w:rPr>
        <w:t>This will have all the payment items which are part of the transaction. This represents the transaction line items and amounts.</w:t>
      </w:r>
    </w:p>
    <w:p w14:paraId="18B43DD6" w14:textId="19514CB4" w:rsidR="0067645A" w:rsidRDefault="0067645A" w:rsidP="00FD5982">
      <w:pPr>
        <w:pStyle w:val="ListParagraph"/>
        <w:widowControl w:val="0"/>
        <w:numPr>
          <w:ilvl w:val="0"/>
          <w:numId w:val="43"/>
        </w:numPr>
        <w:autoSpaceDE w:val="0"/>
        <w:autoSpaceDN w:val="0"/>
        <w:adjustRightInd w:val="0"/>
        <w:spacing w:before="120" w:after="0"/>
        <w:ind w:left="270" w:hanging="270"/>
        <w:contextualSpacing w:val="0"/>
        <w:jc w:val="both"/>
        <w:rPr>
          <w:rFonts w:ascii="Arial" w:hAnsi="Arial" w:cs="Arial"/>
          <w:sz w:val="22"/>
          <w:szCs w:val="22"/>
        </w:rPr>
      </w:pPr>
      <w:r>
        <w:rPr>
          <w:rFonts w:ascii="Arial" w:hAnsi="Arial" w:cs="Arial"/>
          <w:sz w:val="22"/>
          <w:szCs w:val="22"/>
        </w:rPr>
        <w:t>When the Order call is being made by calling application, it will be submitted for authorization. TPE will do preliminary validations on the Order before submitting it to the Merchant Service Provider for authorization. If there is an error with the Order, TPE will return that information back to client application, or it will return back that the authorization was successful.</w:t>
      </w:r>
    </w:p>
    <w:p w14:paraId="55B4F842" w14:textId="77777777" w:rsidR="0067645A" w:rsidRDefault="0067645A" w:rsidP="00FD5982">
      <w:pPr>
        <w:widowControl w:val="0"/>
        <w:numPr>
          <w:ilvl w:val="0"/>
          <w:numId w:val="43"/>
        </w:numPr>
        <w:autoSpaceDE w:val="0"/>
        <w:autoSpaceDN w:val="0"/>
        <w:adjustRightInd w:val="0"/>
        <w:spacing w:before="120" w:after="0"/>
        <w:ind w:left="270" w:hanging="270"/>
        <w:jc w:val="both"/>
        <w:rPr>
          <w:rFonts w:ascii="Arial" w:hAnsi="Arial" w:cs="Arial"/>
          <w:sz w:val="22"/>
          <w:szCs w:val="22"/>
        </w:rPr>
      </w:pPr>
      <w:r>
        <w:rPr>
          <w:rFonts w:ascii="Arial" w:hAnsi="Arial" w:cs="Arial"/>
          <w:b/>
          <w:bCs/>
          <w:sz w:val="22"/>
          <w:szCs w:val="22"/>
        </w:rPr>
        <w:t xml:space="preserve">Complete the Order: </w:t>
      </w:r>
      <w:r>
        <w:rPr>
          <w:rFonts w:ascii="Arial" w:hAnsi="Arial" w:cs="Arial"/>
          <w:sz w:val="22"/>
          <w:szCs w:val="22"/>
        </w:rPr>
        <w:t xml:space="preserve">Once the authorization is completed, the client application can use the Order ID from TPE to complete the order. This call to TPE informs the system that the order is complete and ready to be invoiced. In this call, the calling application informs TPE to either capture or void the order. Once this is done, the money transfer (i.e., Capture) is initiated. The invoice takes the information from the Order, and is then submitted to the Merchant Service Provider for Capture/Settlement. To have the invoice and order completion with this call itself, the service code needs to be </w:t>
      </w:r>
      <w:proofErr w:type="gramStart"/>
      <w:r>
        <w:rPr>
          <w:rFonts w:ascii="Arial" w:hAnsi="Arial" w:cs="Arial"/>
          <w:sz w:val="22"/>
          <w:szCs w:val="22"/>
        </w:rPr>
        <w:t>setup</w:t>
      </w:r>
      <w:proofErr w:type="gramEnd"/>
      <w:r>
        <w:rPr>
          <w:rFonts w:ascii="Arial" w:hAnsi="Arial" w:cs="Arial"/>
          <w:sz w:val="22"/>
          <w:szCs w:val="22"/>
        </w:rPr>
        <w:t xml:space="preserve"> accordingly.  </w:t>
      </w:r>
    </w:p>
    <w:p w14:paraId="1AA4DAB0" w14:textId="77777777" w:rsidR="0067645A" w:rsidRDefault="0067645A" w:rsidP="00C9766B">
      <w:pPr>
        <w:jc w:val="both"/>
        <w:rPr>
          <w:rFonts w:ascii="Arial" w:hAnsi="Arial" w:cs="Arial"/>
          <w:color w:val="000000"/>
          <w:sz w:val="22"/>
          <w:szCs w:val="22"/>
        </w:rPr>
      </w:pPr>
    </w:p>
    <w:p w14:paraId="37F82B2D" w14:textId="77777777" w:rsidR="001B4CCC" w:rsidRDefault="0067645A" w:rsidP="00C9766B">
      <w:pPr>
        <w:jc w:val="both"/>
        <w:rPr>
          <w:rFonts w:ascii="Arial" w:hAnsi="Arial" w:cs="Arial"/>
          <w:color w:val="000000"/>
          <w:spacing w:val="-1"/>
          <w:sz w:val="22"/>
          <w:szCs w:val="22"/>
        </w:rPr>
      </w:pPr>
      <w:r>
        <w:rPr>
          <w:rFonts w:ascii="Arial" w:hAnsi="Arial" w:cs="Arial"/>
          <w:color w:val="000000"/>
          <w:sz w:val="22"/>
          <w:szCs w:val="22"/>
        </w:rPr>
        <w:t>T</w:t>
      </w:r>
      <w:r>
        <w:rPr>
          <w:rFonts w:ascii="Arial" w:hAnsi="Arial" w:cs="Arial"/>
          <w:color w:val="000000"/>
          <w:spacing w:val="-1"/>
          <w:sz w:val="22"/>
          <w:szCs w:val="22"/>
        </w:rPr>
        <w:t>h</w:t>
      </w:r>
      <w:r>
        <w:rPr>
          <w:rFonts w:ascii="Arial" w:hAnsi="Arial" w:cs="Arial"/>
          <w:color w:val="000000"/>
          <w:sz w:val="22"/>
          <w:szCs w:val="22"/>
        </w:rPr>
        <w:t>e</w:t>
      </w:r>
      <w:r>
        <w:rPr>
          <w:rFonts w:ascii="Arial" w:hAnsi="Arial" w:cs="Arial"/>
          <w:color w:val="000000"/>
          <w:spacing w:val="1"/>
          <w:sz w:val="22"/>
          <w:szCs w:val="22"/>
        </w:rPr>
        <w:t xml:space="preserve"> </w:t>
      </w:r>
      <w:r>
        <w:rPr>
          <w:rFonts w:ascii="Arial" w:hAnsi="Arial" w:cs="Arial"/>
          <w:color w:val="000000"/>
          <w:spacing w:val="-3"/>
          <w:sz w:val="22"/>
          <w:szCs w:val="22"/>
        </w:rPr>
        <w:t>f</w:t>
      </w:r>
      <w:r>
        <w:rPr>
          <w:rFonts w:ascii="Arial" w:hAnsi="Arial" w:cs="Arial"/>
          <w:color w:val="000000"/>
          <w:spacing w:val="1"/>
          <w:sz w:val="22"/>
          <w:szCs w:val="22"/>
        </w:rPr>
        <w:t>o</w:t>
      </w:r>
      <w:r>
        <w:rPr>
          <w:rFonts w:ascii="Arial" w:hAnsi="Arial" w:cs="Arial"/>
          <w:color w:val="000000"/>
          <w:sz w:val="22"/>
          <w:szCs w:val="22"/>
        </w:rPr>
        <w:t>ll</w:t>
      </w:r>
      <w:r>
        <w:rPr>
          <w:rFonts w:ascii="Arial" w:hAnsi="Arial" w:cs="Arial"/>
          <w:color w:val="000000"/>
          <w:spacing w:val="-1"/>
          <w:sz w:val="22"/>
          <w:szCs w:val="22"/>
        </w:rPr>
        <w:t>o</w:t>
      </w:r>
      <w:r>
        <w:rPr>
          <w:rFonts w:ascii="Arial" w:hAnsi="Arial" w:cs="Arial"/>
          <w:color w:val="000000"/>
          <w:sz w:val="22"/>
          <w:szCs w:val="22"/>
        </w:rPr>
        <w:t>wi</w:t>
      </w:r>
      <w:r>
        <w:rPr>
          <w:rFonts w:ascii="Arial" w:hAnsi="Arial" w:cs="Arial"/>
          <w:color w:val="000000"/>
          <w:spacing w:val="-1"/>
          <w:sz w:val="22"/>
          <w:szCs w:val="22"/>
        </w:rPr>
        <w:t>n</w:t>
      </w:r>
      <w:r>
        <w:rPr>
          <w:rFonts w:ascii="Arial" w:hAnsi="Arial" w:cs="Arial"/>
          <w:color w:val="000000"/>
          <w:sz w:val="22"/>
          <w:szCs w:val="22"/>
        </w:rPr>
        <w:t>g fi</w:t>
      </w:r>
      <w:r>
        <w:rPr>
          <w:rFonts w:ascii="Arial" w:hAnsi="Arial" w:cs="Arial"/>
          <w:color w:val="000000"/>
          <w:spacing w:val="-1"/>
          <w:sz w:val="22"/>
          <w:szCs w:val="22"/>
        </w:rPr>
        <w:t>gu</w:t>
      </w:r>
      <w:r>
        <w:rPr>
          <w:rFonts w:ascii="Arial" w:hAnsi="Arial" w:cs="Arial"/>
          <w:color w:val="000000"/>
          <w:sz w:val="22"/>
          <w:szCs w:val="22"/>
        </w:rPr>
        <w:t>re</w:t>
      </w:r>
      <w:r>
        <w:rPr>
          <w:rFonts w:ascii="Arial" w:hAnsi="Arial" w:cs="Arial"/>
          <w:color w:val="000000"/>
          <w:spacing w:val="1"/>
          <w:sz w:val="22"/>
          <w:szCs w:val="22"/>
        </w:rPr>
        <w:t xml:space="preserve"> o</w:t>
      </w:r>
      <w:r>
        <w:rPr>
          <w:rFonts w:ascii="Arial" w:hAnsi="Arial" w:cs="Arial"/>
          <w:color w:val="000000"/>
          <w:spacing w:val="-3"/>
          <w:sz w:val="22"/>
          <w:szCs w:val="22"/>
        </w:rPr>
        <w:t>u</w:t>
      </w:r>
      <w:r>
        <w:rPr>
          <w:rFonts w:ascii="Arial" w:hAnsi="Arial" w:cs="Arial"/>
          <w:color w:val="000000"/>
          <w:sz w:val="22"/>
          <w:szCs w:val="22"/>
        </w:rPr>
        <w:t>tli</w:t>
      </w:r>
      <w:r>
        <w:rPr>
          <w:rFonts w:ascii="Arial" w:hAnsi="Arial" w:cs="Arial"/>
          <w:color w:val="000000"/>
          <w:spacing w:val="-1"/>
          <w:sz w:val="22"/>
          <w:szCs w:val="22"/>
        </w:rPr>
        <w:t>n</w:t>
      </w:r>
      <w:r>
        <w:rPr>
          <w:rFonts w:ascii="Arial" w:hAnsi="Arial" w:cs="Arial"/>
          <w:color w:val="000000"/>
          <w:spacing w:val="1"/>
          <w:sz w:val="22"/>
          <w:szCs w:val="22"/>
        </w:rPr>
        <w:t>e</w:t>
      </w:r>
      <w:r>
        <w:rPr>
          <w:rFonts w:ascii="Arial" w:hAnsi="Arial" w:cs="Arial"/>
          <w:color w:val="000000"/>
          <w:sz w:val="22"/>
          <w:szCs w:val="22"/>
        </w:rPr>
        <w:t>s</w:t>
      </w:r>
      <w:r>
        <w:rPr>
          <w:rFonts w:ascii="Arial" w:hAnsi="Arial" w:cs="Arial"/>
          <w:color w:val="000000"/>
          <w:spacing w:val="1"/>
          <w:sz w:val="22"/>
          <w:szCs w:val="22"/>
        </w:rPr>
        <w:t xml:space="preserve"> </w:t>
      </w:r>
      <w:r>
        <w:rPr>
          <w:rFonts w:ascii="Arial" w:hAnsi="Arial" w:cs="Arial"/>
          <w:color w:val="000000"/>
          <w:sz w:val="22"/>
          <w:szCs w:val="22"/>
        </w:rPr>
        <w:t xml:space="preserve">a </w:t>
      </w:r>
      <w:r>
        <w:rPr>
          <w:rFonts w:ascii="Arial" w:hAnsi="Arial" w:cs="Arial"/>
          <w:color w:val="000000"/>
          <w:spacing w:val="-2"/>
          <w:sz w:val="22"/>
          <w:szCs w:val="22"/>
        </w:rPr>
        <w:t>t</w:t>
      </w:r>
      <w:r>
        <w:rPr>
          <w:rFonts w:ascii="Arial" w:hAnsi="Arial" w:cs="Arial"/>
          <w:color w:val="000000"/>
          <w:spacing w:val="1"/>
          <w:sz w:val="22"/>
          <w:szCs w:val="22"/>
        </w:rPr>
        <w:t>y</w:t>
      </w:r>
      <w:r>
        <w:rPr>
          <w:rFonts w:ascii="Arial" w:hAnsi="Arial" w:cs="Arial"/>
          <w:color w:val="000000"/>
          <w:spacing w:val="-1"/>
          <w:sz w:val="22"/>
          <w:szCs w:val="22"/>
        </w:rPr>
        <w:t>p</w:t>
      </w:r>
      <w:r>
        <w:rPr>
          <w:rFonts w:ascii="Arial" w:hAnsi="Arial" w:cs="Arial"/>
          <w:color w:val="000000"/>
          <w:sz w:val="22"/>
          <w:szCs w:val="22"/>
        </w:rPr>
        <w:t xml:space="preserve">ical </w:t>
      </w:r>
      <w:r>
        <w:rPr>
          <w:rFonts w:ascii="Arial" w:hAnsi="Arial" w:cs="Arial"/>
          <w:color w:val="000000"/>
          <w:spacing w:val="-1"/>
          <w:sz w:val="22"/>
          <w:szCs w:val="22"/>
        </w:rPr>
        <w:t>p</w:t>
      </w:r>
      <w:r>
        <w:rPr>
          <w:rFonts w:ascii="Arial" w:hAnsi="Arial" w:cs="Arial"/>
          <w:color w:val="000000"/>
          <w:spacing w:val="-3"/>
          <w:sz w:val="22"/>
          <w:szCs w:val="22"/>
        </w:rPr>
        <w:t>r</w:t>
      </w:r>
      <w:r>
        <w:rPr>
          <w:rFonts w:ascii="Arial" w:hAnsi="Arial" w:cs="Arial"/>
          <w:color w:val="000000"/>
          <w:spacing w:val="1"/>
          <w:sz w:val="22"/>
          <w:szCs w:val="22"/>
        </w:rPr>
        <w:t>o</w:t>
      </w:r>
      <w:r>
        <w:rPr>
          <w:rFonts w:ascii="Arial" w:hAnsi="Arial" w:cs="Arial"/>
          <w:color w:val="000000"/>
          <w:sz w:val="22"/>
          <w:szCs w:val="22"/>
        </w:rPr>
        <w:t>c</w:t>
      </w:r>
      <w:r>
        <w:rPr>
          <w:rFonts w:ascii="Arial" w:hAnsi="Arial" w:cs="Arial"/>
          <w:color w:val="000000"/>
          <w:spacing w:val="-2"/>
          <w:sz w:val="22"/>
          <w:szCs w:val="22"/>
        </w:rPr>
        <w:t>e</w:t>
      </w:r>
      <w:r>
        <w:rPr>
          <w:rFonts w:ascii="Arial" w:hAnsi="Arial" w:cs="Arial"/>
          <w:color w:val="000000"/>
          <w:sz w:val="22"/>
          <w:szCs w:val="22"/>
        </w:rPr>
        <w:t>ss</w:t>
      </w:r>
      <w:r>
        <w:rPr>
          <w:rFonts w:ascii="Arial" w:hAnsi="Arial" w:cs="Arial"/>
          <w:color w:val="000000"/>
          <w:spacing w:val="1"/>
          <w:sz w:val="22"/>
          <w:szCs w:val="22"/>
        </w:rPr>
        <w:t xml:space="preserve"> </w:t>
      </w:r>
      <w:r>
        <w:rPr>
          <w:rFonts w:ascii="Arial" w:hAnsi="Arial" w:cs="Arial"/>
          <w:color w:val="000000"/>
          <w:sz w:val="22"/>
          <w:szCs w:val="22"/>
        </w:rPr>
        <w:t>f</w:t>
      </w:r>
      <w:r>
        <w:rPr>
          <w:rFonts w:ascii="Arial" w:hAnsi="Arial" w:cs="Arial"/>
          <w:color w:val="000000"/>
          <w:spacing w:val="-3"/>
          <w:sz w:val="22"/>
          <w:szCs w:val="22"/>
        </w:rPr>
        <w:t>l</w:t>
      </w:r>
      <w:r>
        <w:rPr>
          <w:rFonts w:ascii="Arial" w:hAnsi="Arial" w:cs="Arial"/>
          <w:color w:val="000000"/>
          <w:spacing w:val="1"/>
          <w:sz w:val="22"/>
          <w:szCs w:val="22"/>
        </w:rPr>
        <w:t>o</w:t>
      </w:r>
      <w:r>
        <w:rPr>
          <w:rFonts w:ascii="Arial" w:hAnsi="Arial" w:cs="Arial"/>
          <w:color w:val="000000"/>
          <w:sz w:val="22"/>
          <w:szCs w:val="22"/>
        </w:rPr>
        <w:t>w</w:t>
      </w:r>
      <w:r>
        <w:rPr>
          <w:rFonts w:ascii="Arial" w:hAnsi="Arial" w:cs="Arial"/>
          <w:color w:val="000000"/>
          <w:spacing w:val="1"/>
          <w:sz w:val="22"/>
          <w:szCs w:val="22"/>
        </w:rPr>
        <w:t xml:space="preserve"> </w:t>
      </w:r>
      <w:r>
        <w:rPr>
          <w:rFonts w:ascii="Arial" w:hAnsi="Arial" w:cs="Arial"/>
          <w:color w:val="000000"/>
          <w:spacing w:val="-3"/>
          <w:sz w:val="22"/>
          <w:szCs w:val="22"/>
        </w:rPr>
        <w:t>f</w:t>
      </w:r>
      <w:r>
        <w:rPr>
          <w:rFonts w:ascii="Arial" w:hAnsi="Arial" w:cs="Arial"/>
          <w:color w:val="000000"/>
          <w:spacing w:val="-1"/>
          <w:sz w:val="22"/>
          <w:szCs w:val="22"/>
        </w:rPr>
        <w:t>o</w:t>
      </w:r>
      <w:r>
        <w:rPr>
          <w:rFonts w:ascii="Arial" w:hAnsi="Arial" w:cs="Arial"/>
          <w:color w:val="000000"/>
          <w:sz w:val="22"/>
          <w:szCs w:val="22"/>
        </w:rPr>
        <w:t>r a Direct Connect</w:t>
      </w:r>
      <w:r>
        <w:rPr>
          <w:rFonts w:ascii="Arial" w:hAnsi="Arial" w:cs="Arial"/>
          <w:color w:val="000000"/>
          <w:spacing w:val="2"/>
          <w:sz w:val="22"/>
          <w:szCs w:val="22"/>
        </w:rPr>
        <w:t xml:space="preserve"> </w:t>
      </w:r>
      <w:r>
        <w:rPr>
          <w:rFonts w:ascii="Arial" w:hAnsi="Arial" w:cs="Arial"/>
          <w:color w:val="000000"/>
          <w:sz w:val="22"/>
          <w:szCs w:val="22"/>
        </w:rPr>
        <w:t>tra</w:t>
      </w:r>
      <w:r>
        <w:rPr>
          <w:rFonts w:ascii="Arial" w:hAnsi="Arial" w:cs="Arial"/>
          <w:color w:val="000000"/>
          <w:spacing w:val="-1"/>
          <w:sz w:val="22"/>
          <w:szCs w:val="22"/>
        </w:rPr>
        <w:t>n</w:t>
      </w:r>
      <w:r>
        <w:rPr>
          <w:rFonts w:ascii="Arial" w:hAnsi="Arial" w:cs="Arial"/>
          <w:color w:val="000000"/>
          <w:sz w:val="22"/>
          <w:szCs w:val="22"/>
        </w:rPr>
        <w:t>s</w:t>
      </w:r>
      <w:r>
        <w:rPr>
          <w:rFonts w:ascii="Arial" w:hAnsi="Arial" w:cs="Arial"/>
          <w:color w:val="000000"/>
          <w:spacing w:val="-3"/>
          <w:sz w:val="22"/>
          <w:szCs w:val="22"/>
        </w:rPr>
        <w:t>a</w:t>
      </w:r>
      <w:r>
        <w:rPr>
          <w:rFonts w:ascii="Arial" w:hAnsi="Arial" w:cs="Arial"/>
          <w:color w:val="000000"/>
          <w:sz w:val="22"/>
          <w:szCs w:val="22"/>
        </w:rPr>
        <w:t>cti</w:t>
      </w:r>
      <w:r>
        <w:rPr>
          <w:rFonts w:ascii="Arial" w:hAnsi="Arial" w:cs="Arial"/>
          <w:color w:val="000000"/>
          <w:spacing w:val="1"/>
          <w:sz w:val="22"/>
          <w:szCs w:val="22"/>
        </w:rPr>
        <w:t>o</w:t>
      </w:r>
      <w:r>
        <w:rPr>
          <w:rFonts w:ascii="Arial" w:hAnsi="Arial" w:cs="Arial"/>
          <w:color w:val="000000"/>
          <w:spacing w:val="-1"/>
          <w:sz w:val="22"/>
          <w:szCs w:val="22"/>
        </w:rPr>
        <w:t>n.</w:t>
      </w:r>
    </w:p>
    <w:p w14:paraId="41665C31" w14:textId="5EF8481E" w:rsidR="0067645A" w:rsidRDefault="0067645A" w:rsidP="00C9766B">
      <w:pPr>
        <w:jc w:val="both"/>
        <w:rPr>
          <w:rFonts w:ascii="Arial" w:hAnsi="Arial" w:cs="Arial"/>
          <w:color w:val="000000"/>
          <w:spacing w:val="-1"/>
          <w:sz w:val="22"/>
          <w:szCs w:val="22"/>
        </w:rPr>
      </w:pPr>
      <w:r>
        <w:rPr>
          <w:rFonts w:ascii="Arial" w:hAnsi="Arial" w:cs="Arial"/>
          <w:sz w:val="22"/>
          <w:szCs w:val="22"/>
        </w:rPr>
        <w:tab/>
      </w:r>
    </w:p>
    <w:p w14:paraId="0EEB9DDE" w14:textId="503EBAC2" w:rsidR="0067645A" w:rsidRDefault="0067645A" w:rsidP="00C9766B">
      <w:pPr>
        <w:jc w:val="both"/>
      </w:pPr>
      <w:r>
        <w:rPr>
          <w:noProof/>
        </w:rPr>
        <w:lastRenderedPageBreak/>
        <w:drawing>
          <wp:inline distT="0" distB="0" distL="0" distR="0" wp14:anchorId="22FEEAAC" wp14:editId="64DF0993">
            <wp:extent cx="4572000" cy="2514600"/>
            <wp:effectExtent l="0" t="0" r="0" b="0"/>
            <wp:docPr id="844962381" name="Picture 2" descr="A picture containing text, map,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62381" name="Picture 2" descr="A picture containing text, map, indoo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514600"/>
                    </a:xfrm>
                    <a:prstGeom prst="rect">
                      <a:avLst/>
                    </a:prstGeom>
                    <a:noFill/>
                    <a:ln>
                      <a:noFill/>
                    </a:ln>
                  </pic:spPr>
                </pic:pic>
              </a:graphicData>
            </a:graphic>
          </wp:inline>
        </w:drawing>
      </w:r>
    </w:p>
    <w:p w14:paraId="1C64A450" w14:textId="77777777" w:rsidR="0067645A" w:rsidRDefault="0067645A" w:rsidP="00C9766B">
      <w:pPr>
        <w:widowControl w:val="0"/>
        <w:autoSpaceDE w:val="0"/>
        <w:autoSpaceDN w:val="0"/>
        <w:adjustRightInd w:val="0"/>
        <w:spacing w:after="0"/>
        <w:jc w:val="both"/>
        <w:rPr>
          <w:rFonts w:ascii="Arial" w:hAnsi="Arial" w:cs="Arial"/>
          <w:sz w:val="22"/>
          <w:szCs w:val="22"/>
        </w:rPr>
      </w:pPr>
    </w:p>
    <w:p w14:paraId="157F9156" w14:textId="77777777" w:rsidR="0067645A" w:rsidRDefault="0067645A" w:rsidP="00D93A55">
      <w:pPr>
        <w:widowControl w:val="0"/>
        <w:autoSpaceDE w:val="0"/>
        <w:autoSpaceDN w:val="0"/>
        <w:adjustRightInd w:val="0"/>
        <w:spacing w:after="0"/>
        <w:jc w:val="both"/>
        <w:rPr>
          <w:rFonts w:ascii="Arial" w:hAnsi="Arial" w:cs="Arial"/>
          <w:iCs/>
          <w:sz w:val="22"/>
          <w:szCs w:val="22"/>
          <w:u w:val="single"/>
        </w:rPr>
      </w:pPr>
      <w:r>
        <w:rPr>
          <w:rFonts w:ascii="Arial" w:hAnsi="Arial" w:cs="Arial"/>
          <w:iCs/>
          <w:sz w:val="22"/>
          <w:szCs w:val="22"/>
          <w:u w:val="single"/>
        </w:rPr>
        <w:t>Charges Use in Tyler MS Common Checkout</w:t>
      </w:r>
    </w:p>
    <w:p w14:paraId="472F8530" w14:textId="77777777" w:rsidR="00D93A55" w:rsidRDefault="00D93A55" w:rsidP="00C9766B">
      <w:pPr>
        <w:widowControl w:val="0"/>
        <w:autoSpaceDE w:val="0"/>
        <w:autoSpaceDN w:val="0"/>
        <w:adjustRightInd w:val="0"/>
        <w:spacing w:after="0"/>
        <w:jc w:val="both"/>
        <w:rPr>
          <w:rFonts w:ascii="Arial" w:hAnsi="Arial" w:cs="Arial"/>
          <w:sz w:val="22"/>
          <w:szCs w:val="22"/>
          <w:u w:val="single"/>
        </w:rPr>
      </w:pPr>
    </w:p>
    <w:p w14:paraId="59F74703" w14:textId="77777777" w:rsidR="0067645A" w:rsidRDefault="0067645A" w:rsidP="00C9766B">
      <w:pPr>
        <w:widowControl w:val="0"/>
        <w:autoSpaceDE w:val="0"/>
        <w:autoSpaceDN w:val="0"/>
        <w:adjustRightInd w:val="0"/>
        <w:spacing w:after="0"/>
        <w:jc w:val="both"/>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ChargeItem</w:t>
      </w:r>
      <w:proofErr w:type="spellEnd"/>
      <w:r>
        <w:rPr>
          <w:rFonts w:ascii="Arial" w:hAnsi="Arial" w:cs="Arial"/>
          <w:sz w:val="22"/>
          <w:szCs w:val="22"/>
        </w:rPr>
        <w:t xml:space="preserve"> data will become the basis for a line item that is sent to the CCP in the Prepare Checkout call. The table below maps the line item fields referenced in the CCP interface to their related </w:t>
      </w:r>
      <w:proofErr w:type="spellStart"/>
      <w:r>
        <w:rPr>
          <w:rFonts w:ascii="Arial" w:hAnsi="Arial" w:cs="Arial"/>
          <w:sz w:val="22"/>
          <w:szCs w:val="22"/>
        </w:rPr>
        <w:t>ChargeItem</w:t>
      </w:r>
      <w:proofErr w:type="spellEnd"/>
      <w:r>
        <w:rPr>
          <w:rFonts w:ascii="Arial" w:hAnsi="Arial" w:cs="Arial"/>
          <w:sz w:val="22"/>
          <w:szCs w:val="22"/>
        </w:rPr>
        <w:t xml:space="preserve"> value. In the CCP Prepare Checkout service call, line items are sent in as an array of </w:t>
      </w:r>
      <w:proofErr w:type="spellStart"/>
      <w:r>
        <w:rPr>
          <w:rFonts w:ascii="Arial" w:hAnsi="Arial" w:cs="Arial"/>
          <w:sz w:val="22"/>
          <w:szCs w:val="22"/>
        </w:rPr>
        <w:t>lineItems</w:t>
      </w:r>
      <w:proofErr w:type="spellEnd"/>
      <w:r>
        <w:rPr>
          <w:rFonts w:ascii="Arial" w:hAnsi="Arial" w:cs="Arial"/>
          <w:sz w:val="22"/>
          <w:szCs w:val="22"/>
        </w:rPr>
        <w:t>.</w:t>
      </w:r>
    </w:p>
    <w:p w14:paraId="7E6C35D2" w14:textId="72E43A75" w:rsidR="0067645A" w:rsidRDefault="0067645A" w:rsidP="00C9766B">
      <w:pPr>
        <w:widowControl w:val="0"/>
        <w:autoSpaceDE w:val="0"/>
        <w:autoSpaceDN w:val="0"/>
        <w:adjustRightInd w:val="0"/>
        <w:spacing w:after="0"/>
        <w:jc w:val="both"/>
        <w:rPr>
          <w:rFonts w:ascii="Times New Roman" w:hAnsi="Times New Roman" w:cs="Times New Roman"/>
          <w:sz w:val="22"/>
          <w:szCs w:val="22"/>
        </w:rPr>
      </w:pPr>
      <w:r>
        <w:rPr>
          <w:rFonts w:ascii="Times New Roman" w:hAnsi="Times New Roman" w:cs="Times New Roman"/>
          <w:sz w:val="22"/>
          <w:szCs w:val="22"/>
        </w:rPr>
        <w:br/>
      </w:r>
      <w:r>
        <w:rPr>
          <w:rFonts w:ascii="Times New Roman" w:hAnsi="Times New Roman" w:cs="Times New Roman"/>
          <w:noProof/>
          <w:color w:val="2B579A"/>
          <w:sz w:val="22"/>
          <w:szCs w:val="22"/>
          <w:shd w:val="clear" w:color="auto" w:fill="E6E6E6"/>
          <w:lang w:eastAsia="en-US"/>
        </w:rPr>
        <w:drawing>
          <wp:inline distT="0" distB="0" distL="0" distR="0" wp14:anchorId="287D9583" wp14:editId="2EFA6362">
            <wp:extent cx="4869180" cy="1143000"/>
            <wp:effectExtent l="0" t="0" r="7620" b="0"/>
            <wp:docPr id="121607969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79697" name="Picture 1" descr="Graphical user interface, text, applicatio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9180" cy="1143000"/>
                    </a:xfrm>
                    <a:prstGeom prst="rect">
                      <a:avLst/>
                    </a:prstGeom>
                    <a:noFill/>
                    <a:ln>
                      <a:noFill/>
                    </a:ln>
                  </pic:spPr>
                </pic:pic>
              </a:graphicData>
            </a:graphic>
          </wp:inline>
        </w:drawing>
      </w:r>
    </w:p>
    <w:p w14:paraId="3357A6A6" w14:textId="77777777" w:rsidR="001E5014" w:rsidRPr="00760B25" w:rsidRDefault="001E5014" w:rsidP="00DA0678">
      <w:pPr>
        <w:jc w:val="both"/>
        <w:rPr>
          <w:rFonts w:ascii="Times New Roman" w:hAnsi="Times New Roman" w:cs="Times New Roman"/>
          <w:sz w:val="22"/>
          <w:szCs w:val="22"/>
        </w:rPr>
      </w:pPr>
    </w:p>
    <w:p w14:paraId="75BDBD16" w14:textId="77777777" w:rsidR="0041053C" w:rsidRPr="00760B25" w:rsidRDefault="0041053C" w:rsidP="00DA0678">
      <w:pPr>
        <w:jc w:val="both"/>
        <w:rPr>
          <w:rFonts w:ascii="Times New Roman" w:hAnsi="Times New Roman" w:cs="Times New Roman"/>
          <w:sz w:val="22"/>
          <w:szCs w:val="22"/>
        </w:rPr>
      </w:pPr>
    </w:p>
    <w:sectPr w:rsidR="0041053C" w:rsidRPr="00760B25" w:rsidSect="002050BD">
      <w:headerReference w:type="default" r:id="rId18"/>
      <w:footerReference w:type="default" r:id="rId19"/>
      <w:pgSz w:w="12240" w:h="15840"/>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0D52" w14:textId="77777777" w:rsidR="002853F9" w:rsidRDefault="002853F9" w:rsidP="0044551E">
      <w:pPr>
        <w:spacing w:after="0"/>
      </w:pPr>
      <w:r>
        <w:separator/>
      </w:r>
    </w:p>
  </w:endnote>
  <w:endnote w:type="continuationSeparator" w:id="0">
    <w:p w14:paraId="3B956F3B" w14:textId="77777777" w:rsidR="002853F9" w:rsidRDefault="002853F9" w:rsidP="0044551E">
      <w:pPr>
        <w:spacing w:after="0"/>
      </w:pPr>
      <w:r>
        <w:continuationSeparator/>
      </w:r>
    </w:p>
  </w:endnote>
  <w:endnote w:type="continuationNotice" w:id="1">
    <w:p w14:paraId="177CF7FB" w14:textId="77777777" w:rsidR="002853F9" w:rsidRDefault="002853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4A0" w:firstRow="1" w:lastRow="0" w:firstColumn="1" w:lastColumn="0" w:noHBand="0" w:noVBand="1"/>
    </w:tblPr>
    <w:tblGrid>
      <w:gridCol w:w="8370"/>
      <w:gridCol w:w="990"/>
    </w:tblGrid>
    <w:tr w:rsidR="00D22684" w:rsidRPr="00D22684" w14:paraId="6D9A5081" w14:textId="77777777" w:rsidTr="00A303C0">
      <w:tc>
        <w:tcPr>
          <w:tcW w:w="8370" w:type="dxa"/>
          <w:tcBorders>
            <w:top w:val="single" w:sz="4" w:space="0" w:color="auto"/>
          </w:tcBorders>
        </w:tcPr>
        <w:p w14:paraId="0FC6F1CA" w14:textId="56406C37" w:rsidR="00D22684" w:rsidRPr="00D22684" w:rsidRDefault="00D22684" w:rsidP="00D22684">
          <w:pPr>
            <w:pStyle w:val="Footer"/>
            <w:spacing w:before="120"/>
            <w:rPr>
              <w:rFonts w:ascii="Arial" w:hAnsi="Arial" w:cs="Arial"/>
              <w:sz w:val="20"/>
            </w:rPr>
          </w:pPr>
          <w:r w:rsidRPr="00D22684">
            <w:rPr>
              <w:rFonts w:ascii="Arial" w:hAnsi="Arial" w:cs="Arial"/>
              <w:sz w:val="20"/>
            </w:rPr>
            <w:t xml:space="preserve">Attachment </w:t>
          </w:r>
          <w:r>
            <w:rPr>
              <w:rFonts w:ascii="Arial" w:hAnsi="Arial" w:cs="Arial"/>
              <w:sz w:val="20"/>
            </w:rPr>
            <w:t>C</w:t>
          </w:r>
          <w:r w:rsidRPr="00D22684">
            <w:rPr>
              <w:rFonts w:ascii="Arial" w:hAnsi="Arial" w:cs="Arial"/>
              <w:sz w:val="20"/>
            </w:rPr>
            <w:t xml:space="preserve"> to RFP No. 4</w:t>
          </w:r>
          <w:r w:rsidR="005A0EA2">
            <w:rPr>
              <w:rFonts w:ascii="Arial" w:hAnsi="Arial" w:cs="Arial"/>
              <w:sz w:val="20"/>
            </w:rPr>
            <w:t>666</w:t>
          </w:r>
          <w:r w:rsidRPr="00D22684">
            <w:rPr>
              <w:rFonts w:ascii="Arial" w:hAnsi="Arial" w:cs="Arial"/>
              <w:sz w:val="20"/>
            </w:rPr>
            <w:t>, ITS Project No. 4</w:t>
          </w:r>
          <w:r w:rsidR="005A0EA2">
            <w:rPr>
              <w:rFonts w:ascii="Arial" w:hAnsi="Arial" w:cs="Arial"/>
              <w:sz w:val="20"/>
            </w:rPr>
            <w:t>8690</w:t>
          </w:r>
        </w:p>
      </w:tc>
      <w:tc>
        <w:tcPr>
          <w:tcW w:w="990" w:type="dxa"/>
          <w:tcBorders>
            <w:top w:val="single" w:sz="4" w:space="0" w:color="auto"/>
          </w:tcBorders>
        </w:tcPr>
        <w:p w14:paraId="5E368BB4" w14:textId="2BC8A449" w:rsidR="00D22684" w:rsidRPr="00D22684" w:rsidRDefault="00D22684" w:rsidP="00D22684">
          <w:pPr>
            <w:pStyle w:val="Footer"/>
            <w:spacing w:before="120"/>
            <w:jc w:val="right"/>
            <w:rPr>
              <w:rFonts w:ascii="Arial" w:hAnsi="Arial" w:cs="Arial"/>
              <w:sz w:val="20"/>
            </w:rPr>
          </w:pPr>
          <w:r w:rsidRPr="00D22684">
            <w:rPr>
              <w:rFonts w:ascii="Arial" w:hAnsi="Arial" w:cs="Arial"/>
              <w:color w:val="2B579A"/>
              <w:sz w:val="20"/>
              <w:shd w:val="clear" w:color="auto" w:fill="E6E6E6"/>
            </w:rPr>
            <w:fldChar w:fldCharType="begin"/>
          </w:r>
          <w:r w:rsidRPr="00D22684">
            <w:rPr>
              <w:rFonts w:ascii="Arial" w:hAnsi="Arial" w:cs="Arial"/>
              <w:sz w:val="20"/>
            </w:rPr>
            <w:instrText xml:space="preserve"> PAGE   \* MERGEFORMAT </w:instrText>
          </w:r>
          <w:r w:rsidRPr="00D22684">
            <w:rPr>
              <w:rFonts w:ascii="Arial" w:hAnsi="Arial" w:cs="Arial"/>
              <w:color w:val="2B579A"/>
              <w:sz w:val="20"/>
              <w:shd w:val="clear" w:color="auto" w:fill="E6E6E6"/>
            </w:rPr>
            <w:fldChar w:fldCharType="separate"/>
          </w:r>
          <w:r w:rsidRPr="00D22684">
            <w:rPr>
              <w:rFonts w:ascii="Arial" w:hAnsi="Arial" w:cs="Arial"/>
              <w:color w:val="2B579A"/>
              <w:sz w:val="20"/>
              <w:shd w:val="clear" w:color="auto" w:fill="E6E6E6"/>
            </w:rPr>
            <w:t>3</w:t>
          </w:r>
          <w:r w:rsidRPr="00D22684">
            <w:rPr>
              <w:rFonts w:ascii="Arial" w:hAnsi="Arial" w:cs="Arial"/>
              <w:color w:val="2B579A"/>
              <w:sz w:val="20"/>
              <w:shd w:val="clear" w:color="auto" w:fill="E6E6E6"/>
            </w:rPr>
            <w:fldChar w:fldCharType="end"/>
          </w:r>
          <w:r w:rsidRPr="00D22684">
            <w:rPr>
              <w:rFonts w:ascii="Arial" w:hAnsi="Arial" w:cs="Arial"/>
              <w:sz w:val="20"/>
            </w:rPr>
            <w:t xml:space="preserve"> of </w:t>
          </w:r>
          <w:r w:rsidRPr="00D22684">
            <w:rPr>
              <w:rFonts w:ascii="Arial" w:hAnsi="Arial" w:cs="Arial"/>
              <w:color w:val="2B579A"/>
              <w:sz w:val="20"/>
              <w:shd w:val="clear" w:color="auto" w:fill="E6E6E6"/>
            </w:rPr>
            <w:fldChar w:fldCharType="begin"/>
          </w:r>
          <w:r w:rsidRPr="00D22684">
            <w:rPr>
              <w:rFonts w:ascii="Arial" w:hAnsi="Arial" w:cs="Arial"/>
              <w:sz w:val="20"/>
            </w:rPr>
            <w:instrText xml:space="preserve"> SECTIONPAGES   \* MERGEFORMAT </w:instrText>
          </w:r>
          <w:r w:rsidRPr="00D22684">
            <w:rPr>
              <w:rFonts w:ascii="Arial" w:hAnsi="Arial" w:cs="Arial"/>
              <w:color w:val="2B579A"/>
              <w:sz w:val="20"/>
              <w:shd w:val="clear" w:color="auto" w:fill="E6E6E6"/>
            </w:rPr>
            <w:fldChar w:fldCharType="separate"/>
          </w:r>
          <w:r w:rsidR="00DB3432">
            <w:rPr>
              <w:rFonts w:ascii="Arial" w:hAnsi="Arial" w:cs="Arial"/>
              <w:noProof/>
              <w:sz w:val="20"/>
            </w:rPr>
            <w:t>12</w:t>
          </w:r>
          <w:r w:rsidRPr="00D22684">
            <w:rPr>
              <w:rFonts w:ascii="Arial" w:hAnsi="Arial" w:cs="Arial"/>
              <w:color w:val="2B579A"/>
              <w:sz w:val="20"/>
              <w:shd w:val="clear" w:color="auto" w:fill="E6E6E6"/>
            </w:rPr>
            <w:fldChar w:fldCharType="end"/>
          </w:r>
        </w:p>
      </w:tc>
    </w:tr>
  </w:tbl>
  <w:p w14:paraId="6FB24F71" w14:textId="77777777" w:rsidR="00D22684" w:rsidRPr="00D22684" w:rsidRDefault="00D2268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54CC" w14:textId="77777777" w:rsidR="002853F9" w:rsidRDefault="002853F9" w:rsidP="0044551E">
      <w:pPr>
        <w:spacing w:after="0"/>
      </w:pPr>
      <w:r>
        <w:separator/>
      </w:r>
    </w:p>
  </w:footnote>
  <w:footnote w:type="continuationSeparator" w:id="0">
    <w:p w14:paraId="3BE3A005" w14:textId="77777777" w:rsidR="002853F9" w:rsidRDefault="002853F9" w:rsidP="0044551E">
      <w:pPr>
        <w:spacing w:after="0"/>
      </w:pPr>
      <w:r>
        <w:continuationSeparator/>
      </w:r>
    </w:p>
  </w:footnote>
  <w:footnote w:type="continuationNotice" w:id="1">
    <w:p w14:paraId="679C6894" w14:textId="77777777" w:rsidR="002853F9" w:rsidRDefault="002853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E7E9" w14:textId="286CCCCD" w:rsidR="006B6E2F" w:rsidRPr="006B6E2F" w:rsidRDefault="006B6E2F" w:rsidP="006B6E2F">
    <w:pPr>
      <w:tabs>
        <w:tab w:val="center" w:pos="4680"/>
        <w:tab w:val="right" w:pos="9360"/>
      </w:tabs>
      <w:spacing w:after="0"/>
      <w:jc w:val="center"/>
      <w:rPr>
        <w:rFonts w:ascii="Arial" w:eastAsia="Calibri" w:hAnsi="Arial" w:cs="Arial"/>
        <w:sz w:val="32"/>
        <w:szCs w:val="22"/>
        <w:lang w:eastAsia="en-US"/>
      </w:rPr>
    </w:pPr>
    <w:r w:rsidRPr="006B6E2F">
      <w:rPr>
        <w:rFonts w:ascii="Arial" w:eastAsia="Calibri" w:hAnsi="Arial" w:cs="Arial"/>
        <w:sz w:val="32"/>
        <w:szCs w:val="22"/>
        <w:lang w:eastAsia="en-US"/>
      </w:rPr>
      <w:t xml:space="preserve">Attachment </w:t>
    </w:r>
    <w:r>
      <w:rPr>
        <w:rFonts w:ascii="Arial" w:eastAsia="Calibri" w:hAnsi="Arial" w:cs="Arial"/>
        <w:sz w:val="32"/>
        <w:szCs w:val="22"/>
        <w:lang w:eastAsia="en-US"/>
      </w:rPr>
      <w:t>C</w:t>
    </w:r>
  </w:p>
  <w:p w14:paraId="2AABA6DE" w14:textId="5E8C5A5E" w:rsidR="006B6E2F" w:rsidRPr="006B6E2F" w:rsidRDefault="006B6E2F" w:rsidP="006B6E2F">
    <w:pPr>
      <w:tabs>
        <w:tab w:val="center" w:pos="4680"/>
        <w:tab w:val="right" w:pos="9360"/>
      </w:tabs>
      <w:spacing w:after="0"/>
      <w:jc w:val="center"/>
      <w:rPr>
        <w:rFonts w:ascii="Arial" w:eastAsia="Calibri" w:hAnsi="Arial" w:cs="Arial"/>
        <w:sz w:val="28"/>
        <w:szCs w:val="22"/>
        <w:lang w:eastAsia="en-US"/>
      </w:rPr>
    </w:pPr>
    <w:r w:rsidRPr="006B6E2F">
      <w:rPr>
        <w:rFonts w:ascii="Arial" w:eastAsia="Calibri" w:hAnsi="Arial" w:cs="Arial"/>
        <w:sz w:val="28"/>
        <w:szCs w:val="22"/>
        <w:lang w:eastAsia="en-US"/>
      </w:rPr>
      <w:t>RFP No. 4</w:t>
    </w:r>
    <w:r w:rsidR="005A0EA2">
      <w:rPr>
        <w:rFonts w:ascii="Arial" w:eastAsia="Calibri" w:hAnsi="Arial" w:cs="Arial"/>
        <w:sz w:val="28"/>
        <w:szCs w:val="22"/>
        <w:lang w:eastAsia="en-US"/>
      </w:rPr>
      <w:t>666</w:t>
    </w:r>
    <w:r w:rsidRPr="006B6E2F">
      <w:rPr>
        <w:rFonts w:ascii="Arial" w:eastAsia="Calibri" w:hAnsi="Arial" w:cs="Arial"/>
        <w:sz w:val="28"/>
        <w:szCs w:val="22"/>
        <w:lang w:eastAsia="en-US"/>
      </w:rPr>
      <w:t xml:space="preserve"> – </w:t>
    </w:r>
    <w:r w:rsidR="005A0EA2">
      <w:rPr>
        <w:rFonts w:ascii="Arial" w:eastAsia="Calibri" w:hAnsi="Arial" w:cs="Arial"/>
        <w:sz w:val="28"/>
        <w:szCs w:val="22"/>
        <w:lang w:eastAsia="en-US"/>
      </w:rPr>
      <w:t xml:space="preserve">Avaya Products, Services, and </w:t>
    </w:r>
    <w:proofErr w:type="spellStart"/>
    <w:r w:rsidR="005A0EA2">
      <w:rPr>
        <w:rFonts w:ascii="Arial" w:eastAsia="Calibri" w:hAnsi="Arial" w:cs="Arial"/>
        <w:sz w:val="28"/>
        <w:szCs w:val="22"/>
        <w:lang w:eastAsia="en-US"/>
      </w:rPr>
      <w:t>CCaaS</w:t>
    </w:r>
    <w:proofErr w:type="spellEnd"/>
  </w:p>
  <w:p w14:paraId="3F26A01F" w14:textId="162D6898" w:rsidR="006B6E2F" w:rsidRDefault="00DB3432" w:rsidP="006B6E2F">
    <w:pPr>
      <w:pStyle w:val="Header"/>
    </w:pPr>
    <w:r>
      <w:rPr>
        <w:rFonts w:ascii="Arial" w:eastAsia="Calibri" w:hAnsi="Arial" w:cs="Arial"/>
        <w:color w:val="2B579A"/>
        <w:sz w:val="20"/>
        <w:szCs w:val="20"/>
        <w:shd w:val="clear" w:color="auto" w:fill="E6E6E6"/>
        <w:lang w:eastAsia="en-US"/>
      </w:rPr>
      <w:pict w14:anchorId="4B7B5BA0">
        <v:rect id="_x0000_i1026" style="width:468pt;height:2pt" o:hralign="center" o:hrstd="t" o:hrnoshade="t" o:hr="t" fillcolor="#40404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3E48A0"/>
    <w:lvl w:ilvl="0">
      <w:start w:val="1"/>
      <w:numFmt w:val="bullet"/>
      <w:pStyle w:val="ListBullet"/>
      <w:lvlText w:val=""/>
      <w:lvlJc w:val="left"/>
      <w:pPr>
        <w:ind w:left="360" w:hanging="360"/>
      </w:pPr>
      <w:rPr>
        <w:rFonts w:ascii="Symbol" w:hAnsi="Symbol" w:hint="default"/>
        <w:b w:val="0"/>
        <w:i w:val="0"/>
        <w:caps w:val="0"/>
        <w:spacing w:val="0"/>
        <w:sz w:val="16"/>
      </w:rPr>
    </w:lvl>
  </w:abstractNum>
  <w:abstractNum w:abstractNumId="1" w15:restartNumberingAfterBreak="0">
    <w:nsid w:val="00000001"/>
    <w:multiLevelType w:val="hybridMultilevel"/>
    <w:tmpl w:val="00000001"/>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E23D4"/>
    <w:multiLevelType w:val="hybridMultilevel"/>
    <w:tmpl w:val="6FBA96E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3685151"/>
    <w:multiLevelType w:val="hybridMultilevel"/>
    <w:tmpl w:val="D2D6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E4D8E"/>
    <w:multiLevelType w:val="hybridMultilevel"/>
    <w:tmpl w:val="061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0242E"/>
    <w:multiLevelType w:val="multilevel"/>
    <w:tmpl w:val="7CBA47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D435F1"/>
    <w:multiLevelType w:val="hybridMultilevel"/>
    <w:tmpl w:val="57FE33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F614C"/>
    <w:multiLevelType w:val="hybridMultilevel"/>
    <w:tmpl w:val="ECA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B6F69"/>
    <w:multiLevelType w:val="multilevel"/>
    <w:tmpl w:val="A1A6E83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942064"/>
    <w:multiLevelType w:val="hybridMultilevel"/>
    <w:tmpl w:val="8F6A7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B1A79"/>
    <w:multiLevelType w:val="hybridMultilevel"/>
    <w:tmpl w:val="6F46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82119"/>
    <w:multiLevelType w:val="multilevel"/>
    <w:tmpl w:val="EBB0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32005E"/>
    <w:multiLevelType w:val="hybridMultilevel"/>
    <w:tmpl w:val="A970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81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F48A0"/>
    <w:multiLevelType w:val="hybridMultilevel"/>
    <w:tmpl w:val="D220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F5B3C"/>
    <w:multiLevelType w:val="hybridMultilevel"/>
    <w:tmpl w:val="91F00C20"/>
    <w:lvl w:ilvl="0" w:tplc="04090003">
      <w:start w:val="1"/>
      <w:numFmt w:val="bullet"/>
      <w:lvlText w:val="o"/>
      <w:lvlJc w:val="left"/>
      <w:pPr>
        <w:ind w:left="1890" w:hanging="360"/>
      </w:pPr>
      <w:rPr>
        <w:rFonts w:ascii="Courier New" w:hAnsi="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3E9F0CBB"/>
    <w:multiLevelType w:val="multilevel"/>
    <w:tmpl w:val="1E1EA6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881484"/>
    <w:multiLevelType w:val="hybridMultilevel"/>
    <w:tmpl w:val="BF70E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D5C8F"/>
    <w:multiLevelType w:val="multilevel"/>
    <w:tmpl w:val="5CE402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525078"/>
    <w:multiLevelType w:val="hybridMultilevel"/>
    <w:tmpl w:val="B806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60164"/>
    <w:multiLevelType w:val="hybridMultilevel"/>
    <w:tmpl w:val="ED54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F1B23"/>
    <w:multiLevelType w:val="hybridMultilevel"/>
    <w:tmpl w:val="7AD4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E3396"/>
    <w:multiLevelType w:val="hybridMultilevel"/>
    <w:tmpl w:val="6DACD39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88A5E77"/>
    <w:multiLevelType w:val="hybridMultilevel"/>
    <w:tmpl w:val="9434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8098C"/>
    <w:multiLevelType w:val="multilevel"/>
    <w:tmpl w:val="E058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86072C"/>
    <w:multiLevelType w:val="hybridMultilevel"/>
    <w:tmpl w:val="B3D4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CB988"/>
    <w:multiLevelType w:val="hybridMultilevel"/>
    <w:tmpl w:val="4E1AD122"/>
    <w:lvl w:ilvl="0" w:tplc="A276317E">
      <w:start w:val="1"/>
      <w:numFmt w:val="bullet"/>
      <w:lvlText w:val=""/>
      <w:lvlJc w:val="left"/>
      <w:pPr>
        <w:ind w:left="720" w:hanging="360"/>
      </w:pPr>
      <w:rPr>
        <w:rFonts w:ascii="Symbol" w:hAnsi="Symbol" w:hint="default"/>
      </w:rPr>
    </w:lvl>
    <w:lvl w:ilvl="1" w:tplc="3E1E73C2">
      <w:start w:val="1"/>
      <w:numFmt w:val="bullet"/>
      <w:lvlText w:val="o"/>
      <w:lvlJc w:val="left"/>
      <w:pPr>
        <w:ind w:left="1440" w:hanging="360"/>
      </w:pPr>
      <w:rPr>
        <w:rFonts w:ascii="Courier New" w:hAnsi="Courier New" w:hint="default"/>
      </w:rPr>
    </w:lvl>
    <w:lvl w:ilvl="2" w:tplc="7C3EDE1E">
      <w:start w:val="1"/>
      <w:numFmt w:val="bullet"/>
      <w:lvlText w:val=""/>
      <w:lvlJc w:val="left"/>
      <w:pPr>
        <w:ind w:left="2160" w:hanging="360"/>
      </w:pPr>
      <w:rPr>
        <w:rFonts w:ascii="Wingdings" w:hAnsi="Wingdings" w:hint="default"/>
      </w:rPr>
    </w:lvl>
    <w:lvl w:ilvl="3" w:tplc="E3FCF112">
      <w:start w:val="1"/>
      <w:numFmt w:val="bullet"/>
      <w:lvlText w:val=""/>
      <w:lvlJc w:val="left"/>
      <w:pPr>
        <w:ind w:left="2880" w:hanging="360"/>
      </w:pPr>
      <w:rPr>
        <w:rFonts w:ascii="Symbol" w:hAnsi="Symbol" w:hint="default"/>
      </w:rPr>
    </w:lvl>
    <w:lvl w:ilvl="4" w:tplc="FBB4B97E">
      <w:start w:val="1"/>
      <w:numFmt w:val="bullet"/>
      <w:lvlText w:val="o"/>
      <w:lvlJc w:val="left"/>
      <w:pPr>
        <w:ind w:left="3600" w:hanging="360"/>
      </w:pPr>
      <w:rPr>
        <w:rFonts w:ascii="Courier New" w:hAnsi="Courier New" w:hint="default"/>
      </w:rPr>
    </w:lvl>
    <w:lvl w:ilvl="5" w:tplc="BEE60C3C">
      <w:start w:val="1"/>
      <w:numFmt w:val="bullet"/>
      <w:lvlText w:val=""/>
      <w:lvlJc w:val="left"/>
      <w:pPr>
        <w:ind w:left="4320" w:hanging="360"/>
      </w:pPr>
      <w:rPr>
        <w:rFonts w:ascii="Wingdings" w:hAnsi="Wingdings" w:hint="default"/>
      </w:rPr>
    </w:lvl>
    <w:lvl w:ilvl="6" w:tplc="C7049A20">
      <w:start w:val="1"/>
      <w:numFmt w:val="bullet"/>
      <w:lvlText w:val=""/>
      <w:lvlJc w:val="left"/>
      <w:pPr>
        <w:ind w:left="5040" w:hanging="360"/>
      </w:pPr>
      <w:rPr>
        <w:rFonts w:ascii="Symbol" w:hAnsi="Symbol" w:hint="default"/>
      </w:rPr>
    </w:lvl>
    <w:lvl w:ilvl="7" w:tplc="6E2CE70C">
      <w:start w:val="1"/>
      <w:numFmt w:val="bullet"/>
      <w:lvlText w:val="o"/>
      <w:lvlJc w:val="left"/>
      <w:pPr>
        <w:ind w:left="5760" w:hanging="360"/>
      </w:pPr>
      <w:rPr>
        <w:rFonts w:ascii="Courier New" w:hAnsi="Courier New" w:hint="default"/>
      </w:rPr>
    </w:lvl>
    <w:lvl w:ilvl="8" w:tplc="77AEC1A4">
      <w:start w:val="1"/>
      <w:numFmt w:val="bullet"/>
      <w:lvlText w:val=""/>
      <w:lvlJc w:val="left"/>
      <w:pPr>
        <w:ind w:left="6480" w:hanging="360"/>
      </w:pPr>
      <w:rPr>
        <w:rFonts w:ascii="Wingdings" w:hAnsi="Wingdings" w:hint="default"/>
      </w:rPr>
    </w:lvl>
  </w:abstractNum>
  <w:abstractNum w:abstractNumId="26" w15:restartNumberingAfterBreak="0">
    <w:nsid w:val="6A9358E1"/>
    <w:multiLevelType w:val="hybridMultilevel"/>
    <w:tmpl w:val="D90AE1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C164F27"/>
    <w:multiLevelType w:val="multilevel"/>
    <w:tmpl w:val="A422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F37B45"/>
    <w:multiLevelType w:val="hybridMultilevel"/>
    <w:tmpl w:val="C78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7B474"/>
    <w:multiLevelType w:val="hybridMultilevel"/>
    <w:tmpl w:val="6FC677E6"/>
    <w:lvl w:ilvl="0" w:tplc="36A01FEC">
      <w:start w:val="1"/>
      <w:numFmt w:val="bullet"/>
      <w:lvlText w:val=""/>
      <w:lvlJc w:val="left"/>
      <w:pPr>
        <w:ind w:left="720" w:hanging="360"/>
      </w:pPr>
      <w:rPr>
        <w:rFonts w:ascii="Symbol" w:hAnsi="Symbol" w:hint="default"/>
      </w:rPr>
    </w:lvl>
    <w:lvl w:ilvl="1" w:tplc="21007CDA">
      <w:start w:val="1"/>
      <w:numFmt w:val="bullet"/>
      <w:lvlText w:val="o"/>
      <w:lvlJc w:val="left"/>
      <w:pPr>
        <w:ind w:left="1440" w:hanging="360"/>
      </w:pPr>
      <w:rPr>
        <w:rFonts w:ascii="Courier New" w:hAnsi="Courier New" w:hint="default"/>
      </w:rPr>
    </w:lvl>
    <w:lvl w:ilvl="2" w:tplc="5CEEA910">
      <w:start w:val="1"/>
      <w:numFmt w:val="bullet"/>
      <w:lvlText w:val=""/>
      <w:lvlJc w:val="left"/>
      <w:pPr>
        <w:ind w:left="2160" w:hanging="360"/>
      </w:pPr>
      <w:rPr>
        <w:rFonts w:ascii="Wingdings" w:hAnsi="Wingdings" w:hint="default"/>
      </w:rPr>
    </w:lvl>
    <w:lvl w:ilvl="3" w:tplc="46B85DEA">
      <w:start w:val="1"/>
      <w:numFmt w:val="bullet"/>
      <w:lvlText w:val=""/>
      <w:lvlJc w:val="left"/>
      <w:pPr>
        <w:ind w:left="2880" w:hanging="360"/>
      </w:pPr>
      <w:rPr>
        <w:rFonts w:ascii="Symbol" w:hAnsi="Symbol" w:hint="default"/>
      </w:rPr>
    </w:lvl>
    <w:lvl w:ilvl="4" w:tplc="50C8834A">
      <w:start w:val="1"/>
      <w:numFmt w:val="bullet"/>
      <w:lvlText w:val="o"/>
      <w:lvlJc w:val="left"/>
      <w:pPr>
        <w:ind w:left="3600" w:hanging="360"/>
      </w:pPr>
      <w:rPr>
        <w:rFonts w:ascii="Courier New" w:hAnsi="Courier New" w:hint="default"/>
      </w:rPr>
    </w:lvl>
    <w:lvl w:ilvl="5" w:tplc="2990CB8A">
      <w:start w:val="1"/>
      <w:numFmt w:val="bullet"/>
      <w:lvlText w:val=""/>
      <w:lvlJc w:val="left"/>
      <w:pPr>
        <w:ind w:left="4320" w:hanging="360"/>
      </w:pPr>
      <w:rPr>
        <w:rFonts w:ascii="Wingdings" w:hAnsi="Wingdings" w:hint="default"/>
      </w:rPr>
    </w:lvl>
    <w:lvl w:ilvl="6" w:tplc="211C9AD2">
      <w:start w:val="1"/>
      <w:numFmt w:val="bullet"/>
      <w:lvlText w:val=""/>
      <w:lvlJc w:val="left"/>
      <w:pPr>
        <w:ind w:left="5040" w:hanging="360"/>
      </w:pPr>
      <w:rPr>
        <w:rFonts w:ascii="Symbol" w:hAnsi="Symbol" w:hint="default"/>
      </w:rPr>
    </w:lvl>
    <w:lvl w:ilvl="7" w:tplc="03DEC3DA">
      <w:start w:val="1"/>
      <w:numFmt w:val="bullet"/>
      <w:lvlText w:val="o"/>
      <w:lvlJc w:val="left"/>
      <w:pPr>
        <w:ind w:left="5760" w:hanging="360"/>
      </w:pPr>
      <w:rPr>
        <w:rFonts w:ascii="Courier New" w:hAnsi="Courier New" w:hint="default"/>
      </w:rPr>
    </w:lvl>
    <w:lvl w:ilvl="8" w:tplc="1924E038">
      <w:start w:val="1"/>
      <w:numFmt w:val="bullet"/>
      <w:lvlText w:val=""/>
      <w:lvlJc w:val="left"/>
      <w:pPr>
        <w:ind w:left="6480" w:hanging="360"/>
      </w:pPr>
      <w:rPr>
        <w:rFonts w:ascii="Wingdings" w:hAnsi="Wingdings" w:hint="default"/>
      </w:rPr>
    </w:lvl>
  </w:abstractNum>
  <w:abstractNum w:abstractNumId="30" w15:restartNumberingAfterBreak="0">
    <w:nsid w:val="7CD54446"/>
    <w:multiLevelType w:val="hybridMultilevel"/>
    <w:tmpl w:val="A134E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304580">
    <w:abstractNumId w:val="29"/>
  </w:num>
  <w:num w:numId="2" w16cid:durableId="1438210738">
    <w:abstractNumId w:val="25"/>
  </w:num>
  <w:num w:numId="3" w16cid:durableId="88358191">
    <w:abstractNumId w:val="10"/>
  </w:num>
  <w:num w:numId="4" w16cid:durableId="1077749935">
    <w:abstractNumId w:val="0"/>
  </w:num>
  <w:num w:numId="5" w16cid:durableId="1767537826">
    <w:abstractNumId w:val="7"/>
  </w:num>
  <w:num w:numId="6" w16cid:durableId="1751386802">
    <w:abstractNumId w:val="4"/>
  </w:num>
  <w:num w:numId="7" w16cid:durableId="654917351">
    <w:abstractNumId w:val="24"/>
  </w:num>
  <w:num w:numId="8" w16cid:durableId="170336012">
    <w:abstractNumId w:val="20"/>
  </w:num>
  <w:num w:numId="9" w16cid:durableId="1583368065">
    <w:abstractNumId w:val="26"/>
  </w:num>
  <w:num w:numId="10" w16cid:durableId="332268153">
    <w:abstractNumId w:val="30"/>
  </w:num>
  <w:num w:numId="11" w16cid:durableId="1033765960">
    <w:abstractNumId w:val="12"/>
  </w:num>
  <w:num w:numId="12" w16cid:durableId="1960523265">
    <w:abstractNumId w:val="16"/>
  </w:num>
  <w:num w:numId="13" w16cid:durableId="991908870">
    <w:abstractNumId w:val="21"/>
  </w:num>
  <w:num w:numId="14" w16cid:durableId="1632898071">
    <w:abstractNumId w:val="14"/>
  </w:num>
  <w:num w:numId="15" w16cid:durableId="2098749539">
    <w:abstractNumId w:val="2"/>
  </w:num>
  <w:num w:numId="16" w16cid:durableId="518813935">
    <w:abstractNumId w:val="19"/>
  </w:num>
  <w:num w:numId="17" w16cid:durableId="1406342086">
    <w:abstractNumId w:val="9"/>
  </w:num>
  <w:num w:numId="18" w16cid:durableId="1124888430">
    <w:abstractNumId w:val="1"/>
  </w:num>
  <w:num w:numId="19" w16cid:durableId="181553739">
    <w:abstractNumId w:val="6"/>
  </w:num>
  <w:num w:numId="20" w16cid:durableId="1592808765">
    <w:abstractNumId w:val="3"/>
  </w:num>
  <w:num w:numId="21" w16cid:durableId="622612435">
    <w:abstractNumId w:val="5"/>
  </w:num>
  <w:num w:numId="22" w16cid:durableId="1953394906">
    <w:abstractNumId w:val="17"/>
  </w:num>
  <w:num w:numId="23" w16cid:durableId="1899510399">
    <w:abstractNumId w:val="8"/>
  </w:num>
  <w:num w:numId="24" w16cid:durableId="98305190">
    <w:abstractNumId w:val="15"/>
  </w:num>
  <w:num w:numId="25" w16cid:durableId="269513357">
    <w:abstractNumId w:val="22"/>
  </w:num>
  <w:num w:numId="26" w16cid:durableId="818808414">
    <w:abstractNumId w:val="11"/>
  </w:num>
  <w:num w:numId="27" w16cid:durableId="893464878">
    <w:abstractNumId w:val="27"/>
  </w:num>
  <w:num w:numId="28" w16cid:durableId="860096201">
    <w:abstractNumId w:val="28"/>
  </w:num>
  <w:num w:numId="29" w16cid:durableId="466775565">
    <w:abstractNumId w:val="13"/>
  </w:num>
  <w:num w:numId="30" w16cid:durableId="1267688873">
    <w:abstractNumId w:val="18"/>
  </w:num>
  <w:num w:numId="31" w16cid:durableId="2141461886">
    <w:abstractNumId w:val="23"/>
  </w:num>
  <w:num w:numId="32" w16cid:durableId="1862011529">
    <w:abstractNumId w:val="0"/>
  </w:num>
  <w:num w:numId="33" w16cid:durableId="724331775">
    <w:abstractNumId w:val="10"/>
  </w:num>
  <w:num w:numId="34" w16cid:durableId="368577334">
    <w:abstractNumId w:val="20"/>
  </w:num>
  <w:num w:numId="35" w16cid:durableId="1662613834">
    <w:abstractNumId w:val="21"/>
  </w:num>
  <w:num w:numId="36" w16cid:durableId="1325162190">
    <w:abstractNumId w:val="19"/>
  </w:num>
  <w:num w:numId="37" w16cid:durableId="5722769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3637695">
    <w:abstractNumId w:val="4"/>
  </w:num>
  <w:num w:numId="39" w16cid:durableId="1595475080">
    <w:abstractNumId w:val="28"/>
  </w:num>
  <w:num w:numId="40" w16cid:durableId="2003776370">
    <w:abstractNumId w:val="13"/>
  </w:num>
  <w:num w:numId="41" w16cid:durableId="620915472">
    <w:abstractNumId w:val="18"/>
  </w:num>
  <w:num w:numId="42" w16cid:durableId="550532251">
    <w:abstractNumId w:val="25"/>
  </w:num>
  <w:num w:numId="43" w16cid:durableId="1081485745">
    <w:abstractNumId w:val="1"/>
    <w:lvlOverride w:ilvl="0">
      <w:startOverride w:val="1"/>
    </w:lvlOverride>
    <w:lvlOverride w:ilvl="1"/>
    <w:lvlOverride w:ilvl="2"/>
    <w:lvlOverride w:ilvl="3"/>
    <w:lvlOverride w:ilvl="4"/>
    <w:lvlOverride w:ilvl="5"/>
    <w:lvlOverride w:ilvl="6"/>
    <w:lvlOverride w:ilvl="7"/>
    <w:lvlOverride w:ilvl="8"/>
  </w:num>
  <w:num w:numId="44" w16cid:durableId="3927026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32"/>
    <w:rsid w:val="00001221"/>
    <w:rsid w:val="00001AE8"/>
    <w:rsid w:val="00004DC4"/>
    <w:rsid w:val="0000775F"/>
    <w:rsid w:val="00017290"/>
    <w:rsid w:val="00023F6A"/>
    <w:rsid w:val="00034AA7"/>
    <w:rsid w:val="000359A6"/>
    <w:rsid w:val="00056798"/>
    <w:rsid w:val="00062EF4"/>
    <w:rsid w:val="00071D78"/>
    <w:rsid w:val="00087B1C"/>
    <w:rsid w:val="00091145"/>
    <w:rsid w:val="0009533B"/>
    <w:rsid w:val="0009566B"/>
    <w:rsid w:val="000B295C"/>
    <w:rsid w:val="000D5D3C"/>
    <w:rsid w:val="000E19C8"/>
    <w:rsid w:val="000E5961"/>
    <w:rsid w:val="000E7C23"/>
    <w:rsid w:val="000F02E9"/>
    <w:rsid w:val="000F2BA4"/>
    <w:rsid w:val="00102D44"/>
    <w:rsid w:val="0011264E"/>
    <w:rsid w:val="00126460"/>
    <w:rsid w:val="00133F0C"/>
    <w:rsid w:val="00136AF6"/>
    <w:rsid w:val="00140640"/>
    <w:rsid w:val="00153370"/>
    <w:rsid w:val="00161196"/>
    <w:rsid w:val="00180BB1"/>
    <w:rsid w:val="001A36E3"/>
    <w:rsid w:val="001A473B"/>
    <w:rsid w:val="001B4CCC"/>
    <w:rsid w:val="001C3B9F"/>
    <w:rsid w:val="001C544A"/>
    <w:rsid w:val="001C569D"/>
    <w:rsid w:val="001C6BE8"/>
    <w:rsid w:val="001D4B3A"/>
    <w:rsid w:val="001E5014"/>
    <w:rsid w:val="001E587C"/>
    <w:rsid w:val="001F1FB9"/>
    <w:rsid w:val="001F3946"/>
    <w:rsid w:val="002050BD"/>
    <w:rsid w:val="00220FFB"/>
    <w:rsid w:val="00221DB3"/>
    <w:rsid w:val="0023079B"/>
    <w:rsid w:val="00232E48"/>
    <w:rsid w:val="0023466C"/>
    <w:rsid w:val="0024709A"/>
    <w:rsid w:val="00257BDE"/>
    <w:rsid w:val="00265AF1"/>
    <w:rsid w:val="00267F69"/>
    <w:rsid w:val="00267FBF"/>
    <w:rsid w:val="002706D9"/>
    <w:rsid w:val="00272993"/>
    <w:rsid w:val="00277839"/>
    <w:rsid w:val="002853F9"/>
    <w:rsid w:val="00287C0A"/>
    <w:rsid w:val="00292DE4"/>
    <w:rsid w:val="0029476F"/>
    <w:rsid w:val="002968B3"/>
    <w:rsid w:val="002A6DC1"/>
    <w:rsid w:val="002B0E22"/>
    <w:rsid w:val="002B1775"/>
    <w:rsid w:val="002B6E16"/>
    <w:rsid w:val="002C5A97"/>
    <w:rsid w:val="002D477B"/>
    <w:rsid w:val="002D5D33"/>
    <w:rsid w:val="002E7066"/>
    <w:rsid w:val="002E7DD7"/>
    <w:rsid w:val="002F01C3"/>
    <w:rsid w:val="002F0C97"/>
    <w:rsid w:val="002F4688"/>
    <w:rsid w:val="002F6CEC"/>
    <w:rsid w:val="00306391"/>
    <w:rsid w:val="00306FB6"/>
    <w:rsid w:val="0032274B"/>
    <w:rsid w:val="00330A8D"/>
    <w:rsid w:val="0033397F"/>
    <w:rsid w:val="00345452"/>
    <w:rsid w:val="00347C9A"/>
    <w:rsid w:val="003510B4"/>
    <w:rsid w:val="00353556"/>
    <w:rsid w:val="00367C9D"/>
    <w:rsid w:val="003719AA"/>
    <w:rsid w:val="00373E85"/>
    <w:rsid w:val="0038598F"/>
    <w:rsid w:val="0039097A"/>
    <w:rsid w:val="00397164"/>
    <w:rsid w:val="003B2901"/>
    <w:rsid w:val="003B645F"/>
    <w:rsid w:val="003C2D5A"/>
    <w:rsid w:val="003D53A1"/>
    <w:rsid w:val="003F06A6"/>
    <w:rsid w:val="003F2572"/>
    <w:rsid w:val="003F47C7"/>
    <w:rsid w:val="003F7A4E"/>
    <w:rsid w:val="00401437"/>
    <w:rsid w:val="00403DA1"/>
    <w:rsid w:val="0040642E"/>
    <w:rsid w:val="0041053C"/>
    <w:rsid w:val="00415898"/>
    <w:rsid w:val="00443B49"/>
    <w:rsid w:val="00443CA7"/>
    <w:rsid w:val="0044551E"/>
    <w:rsid w:val="00462D7A"/>
    <w:rsid w:val="00471166"/>
    <w:rsid w:val="004A60B6"/>
    <w:rsid w:val="004B02EC"/>
    <w:rsid w:val="004B1219"/>
    <w:rsid w:val="004B38A0"/>
    <w:rsid w:val="004C53AE"/>
    <w:rsid w:val="004C5DBE"/>
    <w:rsid w:val="004D0E5E"/>
    <w:rsid w:val="004D4A40"/>
    <w:rsid w:val="004D4B5E"/>
    <w:rsid w:val="004E54D1"/>
    <w:rsid w:val="004E5A70"/>
    <w:rsid w:val="004F1545"/>
    <w:rsid w:val="005027C9"/>
    <w:rsid w:val="005258FE"/>
    <w:rsid w:val="00534022"/>
    <w:rsid w:val="00535F92"/>
    <w:rsid w:val="00536A09"/>
    <w:rsid w:val="0054419D"/>
    <w:rsid w:val="00557235"/>
    <w:rsid w:val="005639DB"/>
    <w:rsid w:val="00567135"/>
    <w:rsid w:val="00567D24"/>
    <w:rsid w:val="00570649"/>
    <w:rsid w:val="00576080"/>
    <w:rsid w:val="00591678"/>
    <w:rsid w:val="00592462"/>
    <w:rsid w:val="005A0EA2"/>
    <w:rsid w:val="005C1067"/>
    <w:rsid w:val="005C45C4"/>
    <w:rsid w:val="005E2141"/>
    <w:rsid w:val="005E2D64"/>
    <w:rsid w:val="005E4640"/>
    <w:rsid w:val="005F1E80"/>
    <w:rsid w:val="005F25DD"/>
    <w:rsid w:val="005F779E"/>
    <w:rsid w:val="00600DC5"/>
    <w:rsid w:val="00610385"/>
    <w:rsid w:val="00610B22"/>
    <w:rsid w:val="00620B55"/>
    <w:rsid w:val="006219F5"/>
    <w:rsid w:val="006241C2"/>
    <w:rsid w:val="00632BBA"/>
    <w:rsid w:val="006337DA"/>
    <w:rsid w:val="006408A3"/>
    <w:rsid w:val="00641CAF"/>
    <w:rsid w:val="00643822"/>
    <w:rsid w:val="00646C19"/>
    <w:rsid w:val="00650274"/>
    <w:rsid w:val="00670401"/>
    <w:rsid w:val="0067645A"/>
    <w:rsid w:val="00685D85"/>
    <w:rsid w:val="00692209"/>
    <w:rsid w:val="006A5BD2"/>
    <w:rsid w:val="006A7EC5"/>
    <w:rsid w:val="006B07F8"/>
    <w:rsid w:val="006B6E2F"/>
    <w:rsid w:val="006B7962"/>
    <w:rsid w:val="006C492A"/>
    <w:rsid w:val="006D758A"/>
    <w:rsid w:val="006E4C37"/>
    <w:rsid w:val="006F5701"/>
    <w:rsid w:val="006F7236"/>
    <w:rsid w:val="00701C59"/>
    <w:rsid w:val="0070239A"/>
    <w:rsid w:val="007042AC"/>
    <w:rsid w:val="007044BD"/>
    <w:rsid w:val="00712E77"/>
    <w:rsid w:val="00714020"/>
    <w:rsid w:val="00725B5F"/>
    <w:rsid w:val="00745690"/>
    <w:rsid w:val="007457E6"/>
    <w:rsid w:val="00760B25"/>
    <w:rsid w:val="00773EF2"/>
    <w:rsid w:val="00777468"/>
    <w:rsid w:val="00780A99"/>
    <w:rsid w:val="007843EF"/>
    <w:rsid w:val="0079685C"/>
    <w:rsid w:val="007A3BB2"/>
    <w:rsid w:val="007A4834"/>
    <w:rsid w:val="007B064A"/>
    <w:rsid w:val="007B7C2C"/>
    <w:rsid w:val="007C17F4"/>
    <w:rsid w:val="007C5CC5"/>
    <w:rsid w:val="007D3DF3"/>
    <w:rsid w:val="007E04DD"/>
    <w:rsid w:val="007E562D"/>
    <w:rsid w:val="007F6C55"/>
    <w:rsid w:val="00801AC4"/>
    <w:rsid w:val="00803B31"/>
    <w:rsid w:val="00807079"/>
    <w:rsid w:val="00813FB3"/>
    <w:rsid w:val="0081502D"/>
    <w:rsid w:val="008172DD"/>
    <w:rsid w:val="0082191F"/>
    <w:rsid w:val="00823F18"/>
    <w:rsid w:val="00824888"/>
    <w:rsid w:val="00827E23"/>
    <w:rsid w:val="00837CBE"/>
    <w:rsid w:val="00845DDF"/>
    <w:rsid w:val="00852C88"/>
    <w:rsid w:val="00857763"/>
    <w:rsid w:val="00881DB4"/>
    <w:rsid w:val="00892AD6"/>
    <w:rsid w:val="00893C5F"/>
    <w:rsid w:val="008A08AA"/>
    <w:rsid w:val="008B28E7"/>
    <w:rsid w:val="008B40D9"/>
    <w:rsid w:val="008D4CA8"/>
    <w:rsid w:val="008D6D67"/>
    <w:rsid w:val="008D7741"/>
    <w:rsid w:val="008D777E"/>
    <w:rsid w:val="008E6408"/>
    <w:rsid w:val="008F3E7D"/>
    <w:rsid w:val="00906912"/>
    <w:rsid w:val="00910D2F"/>
    <w:rsid w:val="00923EB3"/>
    <w:rsid w:val="00926C7F"/>
    <w:rsid w:val="00931358"/>
    <w:rsid w:val="00933FE0"/>
    <w:rsid w:val="00960CE3"/>
    <w:rsid w:val="00965921"/>
    <w:rsid w:val="00981509"/>
    <w:rsid w:val="00986962"/>
    <w:rsid w:val="00995FE5"/>
    <w:rsid w:val="00997227"/>
    <w:rsid w:val="009974F6"/>
    <w:rsid w:val="009B719E"/>
    <w:rsid w:val="009B7A9D"/>
    <w:rsid w:val="009C7569"/>
    <w:rsid w:val="009E6BEE"/>
    <w:rsid w:val="009E7E79"/>
    <w:rsid w:val="00A13721"/>
    <w:rsid w:val="00A17562"/>
    <w:rsid w:val="00A3009B"/>
    <w:rsid w:val="00A31DCC"/>
    <w:rsid w:val="00A31FD5"/>
    <w:rsid w:val="00A3791E"/>
    <w:rsid w:val="00A4242D"/>
    <w:rsid w:val="00A459C5"/>
    <w:rsid w:val="00A508BD"/>
    <w:rsid w:val="00A572C7"/>
    <w:rsid w:val="00A63686"/>
    <w:rsid w:val="00A641F1"/>
    <w:rsid w:val="00A7435D"/>
    <w:rsid w:val="00A77233"/>
    <w:rsid w:val="00A82DDE"/>
    <w:rsid w:val="00A90725"/>
    <w:rsid w:val="00AA1420"/>
    <w:rsid w:val="00AA4D44"/>
    <w:rsid w:val="00AA65A7"/>
    <w:rsid w:val="00AC02D6"/>
    <w:rsid w:val="00AC2BEB"/>
    <w:rsid w:val="00AC528C"/>
    <w:rsid w:val="00AC5F8D"/>
    <w:rsid w:val="00AD26EF"/>
    <w:rsid w:val="00AD42EE"/>
    <w:rsid w:val="00AD7799"/>
    <w:rsid w:val="00AF7DFA"/>
    <w:rsid w:val="00B159D9"/>
    <w:rsid w:val="00B22B8B"/>
    <w:rsid w:val="00B268B2"/>
    <w:rsid w:val="00B33D56"/>
    <w:rsid w:val="00B37834"/>
    <w:rsid w:val="00B40C38"/>
    <w:rsid w:val="00B44E6D"/>
    <w:rsid w:val="00B452D1"/>
    <w:rsid w:val="00B46F35"/>
    <w:rsid w:val="00B537B6"/>
    <w:rsid w:val="00B53802"/>
    <w:rsid w:val="00B55E8E"/>
    <w:rsid w:val="00B5697E"/>
    <w:rsid w:val="00B57114"/>
    <w:rsid w:val="00B604D4"/>
    <w:rsid w:val="00B676E5"/>
    <w:rsid w:val="00B83EC1"/>
    <w:rsid w:val="00B92967"/>
    <w:rsid w:val="00B97211"/>
    <w:rsid w:val="00BA08CC"/>
    <w:rsid w:val="00BA0DA9"/>
    <w:rsid w:val="00BA4E99"/>
    <w:rsid w:val="00BA6110"/>
    <w:rsid w:val="00BC02FD"/>
    <w:rsid w:val="00BC0B45"/>
    <w:rsid w:val="00BD7E83"/>
    <w:rsid w:val="00BE4EEB"/>
    <w:rsid w:val="00BF106A"/>
    <w:rsid w:val="00BF1568"/>
    <w:rsid w:val="00BF482C"/>
    <w:rsid w:val="00C16451"/>
    <w:rsid w:val="00C34B39"/>
    <w:rsid w:val="00C3764D"/>
    <w:rsid w:val="00C408A9"/>
    <w:rsid w:val="00C722BC"/>
    <w:rsid w:val="00C74878"/>
    <w:rsid w:val="00C75620"/>
    <w:rsid w:val="00C75C68"/>
    <w:rsid w:val="00C81A46"/>
    <w:rsid w:val="00C82FF1"/>
    <w:rsid w:val="00C83A75"/>
    <w:rsid w:val="00C856FE"/>
    <w:rsid w:val="00C9169F"/>
    <w:rsid w:val="00C91A29"/>
    <w:rsid w:val="00C91BCA"/>
    <w:rsid w:val="00C94637"/>
    <w:rsid w:val="00C95C1A"/>
    <w:rsid w:val="00C9766B"/>
    <w:rsid w:val="00CA53F8"/>
    <w:rsid w:val="00CA7984"/>
    <w:rsid w:val="00CB2E95"/>
    <w:rsid w:val="00CB4675"/>
    <w:rsid w:val="00CC166A"/>
    <w:rsid w:val="00CC672A"/>
    <w:rsid w:val="00CD2C59"/>
    <w:rsid w:val="00CD38D5"/>
    <w:rsid w:val="00CF250F"/>
    <w:rsid w:val="00CF7158"/>
    <w:rsid w:val="00CF79B9"/>
    <w:rsid w:val="00D12BF8"/>
    <w:rsid w:val="00D22684"/>
    <w:rsid w:val="00D24967"/>
    <w:rsid w:val="00D25B9A"/>
    <w:rsid w:val="00D34332"/>
    <w:rsid w:val="00D56055"/>
    <w:rsid w:val="00D60312"/>
    <w:rsid w:val="00D64AC6"/>
    <w:rsid w:val="00D666D4"/>
    <w:rsid w:val="00D71887"/>
    <w:rsid w:val="00D72DF4"/>
    <w:rsid w:val="00D90108"/>
    <w:rsid w:val="00D93A55"/>
    <w:rsid w:val="00DA0678"/>
    <w:rsid w:val="00DB2608"/>
    <w:rsid w:val="00DB3432"/>
    <w:rsid w:val="00DB7629"/>
    <w:rsid w:val="00DC11DE"/>
    <w:rsid w:val="00DC2377"/>
    <w:rsid w:val="00DC33E6"/>
    <w:rsid w:val="00DC44DF"/>
    <w:rsid w:val="00DC5698"/>
    <w:rsid w:val="00DC75D5"/>
    <w:rsid w:val="00DF3076"/>
    <w:rsid w:val="00DF3B62"/>
    <w:rsid w:val="00E01F8A"/>
    <w:rsid w:val="00E033BD"/>
    <w:rsid w:val="00E0720A"/>
    <w:rsid w:val="00E13332"/>
    <w:rsid w:val="00E17F5F"/>
    <w:rsid w:val="00E2461C"/>
    <w:rsid w:val="00E33198"/>
    <w:rsid w:val="00E37773"/>
    <w:rsid w:val="00E46428"/>
    <w:rsid w:val="00E512AA"/>
    <w:rsid w:val="00E62316"/>
    <w:rsid w:val="00E8226C"/>
    <w:rsid w:val="00E8377A"/>
    <w:rsid w:val="00E91DE3"/>
    <w:rsid w:val="00E92583"/>
    <w:rsid w:val="00EB02F3"/>
    <w:rsid w:val="00EC605A"/>
    <w:rsid w:val="00ED1E3B"/>
    <w:rsid w:val="00ED66F0"/>
    <w:rsid w:val="00EE328E"/>
    <w:rsid w:val="00EF7112"/>
    <w:rsid w:val="00EF73EC"/>
    <w:rsid w:val="00F026EC"/>
    <w:rsid w:val="00F21DDA"/>
    <w:rsid w:val="00F308CF"/>
    <w:rsid w:val="00F3328B"/>
    <w:rsid w:val="00F364BD"/>
    <w:rsid w:val="00F544AA"/>
    <w:rsid w:val="00F648E1"/>
    <w:rsid w:val="00F90FA1"/>
    <w:rsid w:val="00F91D89"/>
    <w:rsid w:val="00F92B9D"/>
    <w:rsid w:val="00FA2E35"/>
    <w:rsid w:val="00FA73BB"/>
    <w:rsid w:val="00FA76D7"/>
    <w:rsid w:val="00FC6352"/>
    <w:rsid w:val="00FD3FB0"/>
    <w:rsid w:val="00FD5982"/>
    <w:rsid w:val="00FD5D1C"/>
    <w:rsid w:val="00FD672D"/>
    <w:rsid w:val="00FF7E4D"/>
    <w:rsid w:val="0154D4D6"/>
    <w:rsid w:val="01CECE55"/>
    <w:rsid w:val="020232D0"/>
    <w:rsid w:val="03DC7AA4"/>
    <w:rsid w:val="04833009"/>
    <w:rsid w:val="04B638A5"/>
    <w:rsid w:val="05110CC0"/>
    <w:rsid w:val="077FE796"/>
    <w:rsid w:val="078DB4DD"/>
    <w:rsid w:val="08229DE3"/>
    <w:rsid w:val="0833B257"/>
    <w:rsid w:val="089F9FA7"/>
    <w:rsid w:val="08E76BC9"/>
    <w:rsid w:val="08F11A3E"/>
    <w:rsid w:val="095FE6BB"/>
    <w:rsid w:val="0A1A3B23"/>
    <w:rsid w:val="0A7E2D9E"/>
    <w:rsid w:val="0B0C5B41"/>
    <w:rsid w:val="0B3CE593"/>
    <w:rsid w:val="0BABA961"/>
    <w:rsid w:val="0C791953"/>
    <w:rsid w:val="0D5CF74E"/>
    <w:rsid w:val="0D72D031"/>
    <w:rsid w:val="0DB0E2EC"/>
    <w:rsid w:val="0E500E25"/>
    <w:rsid w:val="0E935733"/>
    <w:rsid w:val="0EA65888"/>
    <w:rsid w:val="0EBCC8FC"/>
    <w:rsid w:val="0F1C8922"/>
    <w:rsid w:val="0F7623A0"/>
    <w:rsid w:val="0FC59AF4"/>
    <w:rsid w:val="10482660"/>
    <w:rsid w:val="10A8BA00"/>
    <w:rsid w:val="119CA933"/>
    <w:rsid w:val="11AC2717"/>
    <w:rsid w:val="125CEB59"/>
    <w:rsid w:val="1382604C"/>
    <w:rsid w:val="138B6029"/>
    <w:rsid w:val="13E05AC2"/>
    <w:rsid w:val="1496F94C"/>
    <w:rsid w:val="14D449F5"/>
    <w:rsid w:val="156604D4"/>
    <w:rsid w:val="15CBF67B"/>
    <w:rsid w:val="15D9BB21"/>
    <w:rsid w:val="15E9EF54"/>
    <w:rsid w:val="167F983A"/>
    <w:rsid w:val="17C9837E"/>
    <w:rsid w:val="19256ABD"/>
    <w:rsid w:val="1944C8B1"/>
    <w:rsid w:val="1985FD19"/>
    <w:rsid w:val="1A75DF65"/>
    <w:rsid w:val="1B80C6E4"/>
    <w:rsid w:val="1C5D0B7F"/>
    <w:rsid w:val="1CBDB3F8"/>
    <w:rsid w:val="1CDBCF0A"/>
    <w:rsid w:val="1D043268"/>
    <w:rsid w:val="1D817B8C"/>
    <w:rsid w:val="1DFC5BF8"/>
    <w:rsid w:val="1E73DFE9"/>
    <w:rsid w:val="1E95312D"/>
    <w:rsid w:val="1EF3DB74"/>
    <w:rsid w:val="1EF68722"/>
    <w:rsid w:val="1F459BAA"/>
    <w:rsid w:val="1FEC2322"/>
    <w:rsid w:val="20E4E44F"/>
    <w:rsid w:val="22B60DD4"/>
    <w:rsid w:val="239754C5"/>
    <w:rsid w:val="244ABA39"/>
    <w:rsid w:val="2462F25C"/>
    <w:rsid w:val="24E4F689"/>
    <w:rsid w:val="24EA6DBF"/>
    <w:rsid w:val="250781AA"/>
    <w:rsid w:val="25248B45"/>
    <w:rsid w:val="25966B0E"/>
    <w:rsid w:val="26C4EE67"/>
    <w:rsid w:val="26C7E9DE"/>
    <w:rsid w:val="28135323"/>
    <w:rsid w:val="291244A4"/>
    <w:rsid w:val="299A0A16"/>
    <w:rsid w:val="29BCCB93"/>
    <w:rsid w:val="29FDEB29"/>
    <w:rsid w:val="2A503139"/>
    <w:rsid w:val="2A70711D"/>
    <w:rsid w:val="2BA9DDBC"/>
    <w:rsid w:val="2BCB6163"/>
    <w:rsid w:val="2C84804B"/>
    <w:rsid w:val="2CF8FCAC"/>
    <w:rsid w:val="2E7D03D3"/>
    <w:rsid w:val="2ED1BB93"/>
    <w:rsid w:val="31665505"/>
    <w:rsid w:val="31A7C247"/>
    <w:rsid w:val="31FB17EA"/>
    <w:rsid w:val="32499425"/>
    <w:rsid w:val="325D19A0"/>
    <w:rsid w:val="3279C850"/>
    <w:rsid w:val="32F3C1CF"/>
    <w:rsid w:val="32FB5CD2"/>
    <w:rsid w:val="3346DF45"/>
    <w:rsid w:val="33BD0B63"/>
    <w:rsid w:val="343A9661"/>
    <w:rsid w:val="346B2BA0"/>
    <w:rsid w:val="348F9230"/>
    <w:rsid w:val="34958873"/>
    <w:rsid w:val="35B16912"/>
    <w:rsid w:val="364DC1D1"/>
    <w:rsid w:val="36EA85A8"/>
    <w:rsid w:val="37F7BDC2"/>
    <w:rsid w:val="3A0B98CD"/>
    <w:rsid w:val="3AB38A53"/>
    <w:rsid w:val="3B1F061F"/>
    <w:rsid w:val="3BBCE958"/>
    <w:rsid w:val="3C314546"/>
    <w:rsid w:val="3CC75520"/>
    <w:rsid w:val="3F234136"/>
    <w:rsid w:val="3F53B285"/>
    <w:rsid w:val="3F68E608"/>
    <w:rsid w:val="3FA82544"/>
    <w:rsid w:val="4001E8F5"/>
    <w:rsid w:val="41020CAB"/>
    <w:rsid w:val="413B67D9"/>
    <w:rsid w:val="425C735D"/>
    <w:rsid w:val="426B707D"/>
    <w:rsid w:val="427E3447"/>
    <w:rsid w:val="42D7383A"/>
    <w:rsid w:val="4342A67C"/>
    <w:rsid w:val="436D172C"/>
    <w:rsid w:val="43DB1CB3"/>
    <w:rsid w:val="44972B46"/>
    <w:rsid w:val="44BAE184"/>
    <w:rsid w:val="44C6F220"/>
    <w:rsid w:val="463356F9"/>
    <w:rsid w:val="46ABD632"/>
    <w:rsid w:val="46E7DA73"/>
    <w:rsid w:val="47060409"/>
    <w:rsid w:val="474CC2C1"/>
    <w:rsid w:val="47C00E81"/>
    <w:rsid w:val="486117BC"/>
    <w:rsid w:val="488285A2"/>
    <w:rsid w:val="489D7B61"/>
    <w:rsid w:val="4A0F8104"/>
    <w:rsid w:val="4A615D9E"/>
    <w:rsid w:val="4AA8057C"/>
    <w:rsid w:val="4CD8B576"/>
    <w:rsid w:val="4D61AE2D"/>
    <w:rsid w:val="4DA074A5"/>
    <w:rsid w:val="4E3B5D69"/>
    <w:rsid w:val="4E9410FA"/>
    <w:rsid w:val="5072CCC5"/>
    <w:rsid w:val="509D45EF"/>
    <w:rsid w:val="51AC2699"/>
    <w:rsid w:val="5209D7C9"/>
    <w:rsid w:val="52103F8B"/>
    <w:rsid w:val="5382C83B"/>
    <w:rsid w:val="538D7F7E"/>
    <w:rsid w:val="539559B4"/>
    <w:rsid w:val="53A5A82A"/>
    <w:rsid w:val="540541A2"/>
    <w:rsid w:val="54476F91"/>
    <w:rsid w:val="54FE5495"/>
    <w:rsid w:val="5563C6FB"/>
    <w:rsid w:val="5576CCC3"/>
    <w:rsid w:val="5673A964"/>
    <w:rsid w:val="567E7A2E"/>
    <w:rsid w:val="573CE264"/>
    <w:rsid w:val="58D8B2C5"/>
    <w:rsid w:val="591C23A0"/>
    <w:rsid w:val="593EAB31"/>
    <w:rsid w:val="5B444CC2"/>
    <w:rsid w:val="5C429376"/>
    <w:rsid w:val="5C657A60"/>
    <w:rsid w:val="5CB63A1A"/>
    <w:rsid w:val="5CD5C80B"/>
    <w:rsid w:val="5D142368"/>
    <w:rsid w:val="5D3E54A8"/>
    <w:rsid w:val="5DE29C33"/>
    <w:rsid w:val="5F454426"/>
    <w:rsid w:val="6051A1F0"/>
    <w:rsid w:val="606B02D5"/>
    <w:rsid w:val="62BCF904"/>
    <w:rsid w:val="62C27975"/>
    <w:rsid w:val="6307D78D"/>
    <w:rsid w:val="634F28C3"/>
    <w:rsid w:val="63848A98"/>
    <w:rsid w:val="647AA987"/>
    <w:rsid w:val="653A4D63"/>
    <w:rsid w:val="654B26DB"/>
    <w:rsid w:val="656B7C0E"/>
    <w:rsid w:val="6659BD7A"/>
    <w:rsid w:val="681209CE"/>
    <w:rsid w:val="682DA0C4"/>
    <w:rsid w:val="6882C79D"/>
    <w:rsid w:val="689BEFFA"/>
    <w:rsid w:val="697171D1"/>
    <w:rsid w:val="697A0B8D"/>
    <w:rsid w:val="69D82641"/>
    <w:rsid w:val="69FFCB32"/>
    <w:rsid w:val="6A3E913D"/>
    <w:rsid w:val="6A54D446"/>
    <w:rsid w:val="6A55928F"/>
    <w:rsid w:val="6B41408D"/>
    <w:rsid w:val="6CE17BB5"/>
    <w:rsid w:val="6D7FC211"/>
    <w:rsid w:val="6DE35EF5"/>
    <w:rsid w:val="6E0F3B94"/>
    <w:rsid w:val="6E597997"/>
    <w:rsid w:val="6EF20921"/>
    <w:rsid w:val="707A5C61"/>
    <w:rsid w:val="707AA59E"/>
    <w:rsid w:val="70BB841B"/>
    <w:rsid w:val="71A96379"/>
    <w:rsid w:val="71D66CEC"/>
    <w:rsid w:val="7226BBF2"/>
    <w:rsid w:val="7229A9E3"/>
    <w:rsid w:val="72F4D4E8"/>
    <w:rsid w:val="7339D8FF"/>
    <w:rsid w:val="7387AFA6"/>
    <w:rsid w:val="758A2B6B"/>
    <w:rsid w:val="768F2722"/>
    <w:rsid w:val="7690572A"/>
    <w:rsid w:val="77D49EB0"/>
    <w:rsid w:val="77E73380"/>
    <w:rsid w:val="781F8DEB"/>
    <w:rsid w:val="787F69D3"/>
    <w:rsid w:val="7948BA1B"/>
    <w:rsid w:val="7949378E"/>
    <w:rsid w:val="79DA294C"/>
    <w:rsid w:val="7A085F87"/>
    <w:rsid w:val="7ACABC2E"/>
    <w:rsid w:val="7B7A59B7"/>
    <w:rsid w:val="7BB29E6F"/>
    <w:rsid w:val="7C61D88F"/>
    <w:rsid w:val="7C6F2843"/>
    <w:rsid w:val="7C7AB50C"/>
    <w:rsid w:val="7E1D3413"/>
    <w:rsid w:val="7F910CBF"/>
    <w:rsid w:val="7FB90474"/>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3385520"/>
  <w15:docId w15:val="{DC82A8C4-C480-4E64-8A0D-0D371B66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337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DC1"/>
    <w:pPr>
      <w:widowControl w:val="0"/>
      <w:autoSpaceDE w:val="0"/>
      <w:autoSpaceDN w:val="0"/>
      <w:adjustRightInd w:val="0"/>
      <w:spacing w:after="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7E04D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04DD"/>
    <w:rPr>
      <w:rFonts w:ascii="Lucida Grande" w:hAnsi="Lucida Grande" w:cs="Lucida Grande"/>
      <w:sz w:val="18"/>
      <w:szCs w:val="18"/>
    </w:rPr>
  </w:style>
  <w:style w:type="paragraph" w:styleId="ListBullet">
    <w:name w:val="List Bullet"/>
    <w:basedOn w:val="Normal"/>
    <w:uiPriority w:val="99"/>
    <w:unhideWhenUsed/>
    <w:qFormat/>
    <w:rsid w:val="00893C5F"/>
    <w:pPr>
      <w:numPr>
        <w:numId w:val="4"/>
      </w:numPr>
      <w:spacing w:after="0"/>
    </w:pPr>
    <w:rPr>
      <w:rFonts w:ascii="Calibri" w:eastAsia="Calibri" w:hAnsi="Calibri" w:cs="Times New Roman"/>
      <w:sz w:val="22"/>
      <w:szCs w:val="22"/>
      <w:lang w:eastAsia="en-US"/>
    </w:rPr>
  </w:style>
  <w:style w:type="paragraph" w:styleId="ListParagraph">
    <w:name w:val="List Paragraph"/>
    <w:basedOn w:val="Normal"/>
    <w:uiPriority w:val="34"/>
    <w:qFormat/>
    <w:rsid w:val="00F3328B"/>
    <w:pPr>
      <w:ind w:left="720"/>
      <w:contextualSpacing/>
    </w:pPr>
  </w:style>
  <w:style w:type="character" w:customStyle="1" w:styleId="Heading2Char">
    <w:name w:val="Heading 2 Char"/>
    <w:basedOn w:val="DefaultParagraphFont"/>
    <w:link w:val="Heading2"/>
    <w:uiPriority w:val="9"/>
    <w:rsid w:val="006337D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4551E"/>
    <w:pPr>
      <w:tabs>
        <w:tab w:val="center" w:pos="4320"/>
        <w:tab w:val="right" w:pos="8640"/>
      </w:tabs>
      <w:spacing w:after="0"/>
    </w:pPr>
  </w:style>
  <w:style w:type="character" w:customStyle="1" w:styleId="HeaderChar">
    <w:name w:val="Header Char"/>
    <w:basedOn w:val="DefaultParagraphFont"/>
    <w:link w:val="Header"/>
    <w:uiPriority w:val="99"/>
    <w:rsid w:val="0044551E"/>
  </w:style>
  <w:style w:type="paragraph" w:styleId="Footer">
    <w:name w:val="footer"/>
    <w:basedOn w:val="Normal"/>
    <w:link w:val="FooterChar"/>
    <w:uiPriority w:val="99"/>
    <w:unhideWhenUsed/>
    <w:rsid w:val="0044551E"/>
    <w:pPr>
      <w:tabs>
        <w:tab w:val="center" w:pos="4320"/>
        <w:tab w:val="right" w:pos="8640"/>
      </w:tabs>
      <w:spacing w:after="0"/>
    </w:pPr>
  </w:style>
  <w:style w:type="character" w:customStyle="1" w:styleId="FooterChar">
    <w:name w:val="Footer Char"/>
    <w:basedOn w:val="DefaultParagraphFont"/>
    <w:link w:val="Footer"/>
    <w:uiPriority w:val="99"/>
    <w:rsid w:val="0044551E"/>
  </w:style>
  <w:style w:type="paragraph" w:styleId="NoSpacing">
    <w:name w:val="No Spacing"/>
    <w:uiPriority w:val="1"/>
    <w:qFormat/>
    <w:rsid w:val="00FA73BB"/>
    <w:pPr>
      <w:spacing w:after="0"/>
    </w:pPr>
  </w:style>
  <w:style w:type="character" w:styleId="CommentReference">
    <w:name w:val="annotation reference"/>
    <w:basedOn w:val="DefaultParagraphFont"/>
    <w:uiPriority w:val="99"/>
    <w:semiHidden/>
    <w:unhideWhenUsed/>
    <w:rsid w:val="00C81A46"/>
    <w:rPr>
      <w:sz w:val="18"/>
      <w:szCs w:val="18"/>
    </w:rPr>
  </w:style>
  <w:style w:type="paragraph" w:styleId="CommentText">
    <w:name w:val="annotation text"/>
    <w:basedOn w:val="Normal"/>
    <w:link w:val="CommentTextChar"/>
    <w:uiPriority w:val="99"/>
    <w:unhideWhenUsed/>
    <w:rsid w:val="00C81A46"/>
  </w:style>
  <w:style w:type="character" w:customStyle="1" w:styleId="CommentTextChar">
    <w:name w:val="Comment Text Char"/>
    <w:basedOn w:val="DefaultParagraphFont"/>
    <w:link w:val="CommentText"/>
    <w:uiPriority w:val="99"/>
    <w:rsid w:val="00C81A46"/>
  </w:style>
  <w:style w:type="paragraph" w:styleId="CommentSubject">
    <w:name w:val="annotation subject"/>
    <w:basedOn w:val="CommentText"/>
    <w:next w:val="CommentText"/>
    <w:link w:val="CommentSubjectChar"/>
    <w:uiPriority w:val="99"/>
    <w:semiHidden/>
    <w:unhideWhenUsed/>
    <w:rsid w:val="00C81A46"/>
    <w:rPr>
      <w:b/>
      <w:bCs/>
      <w:sz w:val="20"/>
      <w:szCs w:val="20"/>
    </w:rPr>
  </w:style>
  <w:style w:type="character" w:customStyle="1" w:styleId="CommentSubjectChar">
    <w:name w:val="Comment Subject Char"/>
    <w:basedOn w:val="CommentTextChar"/>
    <w:link w:val="CommentSubject"/>
    <w:uiPriority w:val="99"/>
    <w:semiHidden/>
    <w:rsid w:val="00C81A46"/>
    <w:rPr>
      <w:b/>
      <w:bCs/>
      <w:sz w:val="20"/>
      <w:szCs w:val="20"/>
    </w:rPr>
  </w:style>
  <w:style w:type="character" w:styleId="Hyperlink">
    <w:name w:val="Hyperlink"/>
    <w:basedOn w:val="DefaultParagraphFont"/>
    <w:uiPriority w:val="99"/>
    <w:unhideWhenUsed/>
    <w:rsid w:val="00EE328E"/>
    <w:rPr>
      <w:color w:val="0000FF" w:themeColor="hyperlink"/>
      <w:u w:val="single"/>
    </w:rPr>
  </w:style>
  <w:style w:type="character" w:styleId="UnresolvedMention">
    <w:name w:val="Unresolved Mention"/>
    <w:basedOn w:val="DefaultParagraphFont"/>
    <w:uiPriority w:val="99"/>
    <w:semiHidden/>
    <w:unhideWhenUsed/>
    <w:rsid w:val="007457E6"/>
    <w:rPr>
      <w:color w:val="808080"/>
      <w:shd w:val="clear" w:color="auto" w:fill="E6E6E6"/>
    </w:rPr>
  </w:style>
  <w:style w:type="paragraph" w:styleId="Revision">
    <w:name w:val="Revision"/>
    <w:hidden/>
    <w:uiPriority w:val="99"/>
    <w:semiHidden/>
    <w:rsid w:val="00C91A29"/>
    <w:pPr>
      <w:spacing w:after="0"/>
    </w:pPr>
  </w:style>
  <w:style w:type="paragraph" w:customStyle="1" w:styleId="paragraph">
    <w:name w:val="paragraph"/>
    <w:basedOn w:val="Normal"/>
    <w:rsid w:val="00E2461C"/>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E2461C"/>
  </w:style>
  <w:style w:type="character" w:customStyle="1" w:styleId="eop">
    <w:name w:val="eop"/>
    <w:basedOn w:val="DefaultParagraphFont"/>
    <w:rsid w:val="00E2461C"/>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06391"/>
    <w:rPr>
      <w:color w:val="800080" w:themeColor="followedHyperlink"/>
      <w:u w:val="single"/>
    </w:rPr>
  </w:style>
  <w:style w:type="paragraph" w:styleId="NormalWeb">
    <w:name w:val="Normal (Web)"/>
    <w:basedOn w:val="Normal"/>
    <w:uiPriority w:val="99"/>
    <w:semiHidden/>
    <w:unhideWhenUsed/>
    <w:rsid w:val="000911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9914">
      <w:bodyDiv w:val="1"/>
      <w:marLeft w:val="0"/>
      <w:marRight w:val="0"/>
      <w:marTop w:val="0"/>
      <w:marBottom w:val="0"/>
      <w:divBdr>
        <w:top w:val="none" w:sz="0" w:space="0" w:color="auto"/>
        <w:left w:val="none" w:sz="0" w:space="0" w:color="auto"/>
        <w:bottom w:val="none" w:sz="0" w:space="0" w:color="auto"/>
        <w:right w:val="none" w:sz="0" w:space="0" w:color="auto"/>
      </w:divBdr>
      <w:divsChild>
        <w:div w:id="1401319429">
          <w:marLeft w:val="0"/>
          <w:marRight w:val="0"/>
          <w:marTop w:val="0"/>
          <w:marBottom w:val="0"/>
          <w:divBdr>
            <w:top w:val="none" w:sz="0" w:space="0" w:color="auto"/>
            <w:left w:val="none" w:sz="0" w:space="0" w:color="auto"/>
            <w:bottom w:val="none" w:sz="0" w:space="0" w:color="auto"/>
            <w:right w:val="none" w:sz="0" w:space="0" w:color="auto"/>
          </w:divBdr>
        </w:div>
        <w:div w:id="1967857841">
          <w:marLeft w:val="0"/>
          <w:marRight w:val="0"/>
          <w:marTop w:val="0"/>
          <w:marBottom w:val="0"/>
          <w:divBdr>
            <w:top w:val="none" w:sz="0" w:space="0" w:color="auto"/>
            <w:left w:val="none" w:sz="0" w:space="0" w:color="auto"/>
            <w:bottom w:val="none" w:sz="0" w:space="0" w:color="auto"/>
            <w:right w:val="none" w:sz="0" w:space="0" w:color="auto"/>
          </w:divBdr>
        </w:div>
      </w:divsChild>
    </w:div>
    <w:div w:id="313222445">
      <w:bodyDiv w:val="1"/>
      <w:marLeft w:val="0"/>
      <w:marRight w:val="0"/>
      <w:marTop w:val="0"/>
      <w:marBottom w:val="0"/>
      <w:divBdr>
        <w:top w:val="none" w:sz="0" w:space="0" w:color="auto"/>
        <w:left w:val="none" w:sz="0" w:space="0" w:color="auto"/>
        <w:bottom w:val="none" w:sz="0" w:space="0" w:color="auto"/>
        <w:right w:val="none" w:sz="0" w:space="0" w:color="auto"/>
      </w:divBdr>
    </w:div>
    <w:div w:id="563105692">
      <w:bodyDiv w:val="1"/>
      <w:marLeft w:val="0"/>
      <w:marRight w:val="0"/>
      <w:marTop w:val="0"/>
      <w:marBottom w:val="0"/>
      <w:divBdr>
        <w:top w:val="none" w:sz="0" w:space="0" w:color="auto"/>
        <w:left w:val="none" w:sz="0" w:space="0" w:color="auto"/>
        <w:bottom w:val="none" w:sz="0" w:space="0" w:color="auto"/>
        <w:right w:val="none" w:sz="0" w:space="0" w:color="auto"/>
      </w:divBdr>
      <w:divsChild>
        <w:div w:id="1254973531">
          <w:marLeft w:val="0"/>
          <w:marRight w:val="0"/>
          <w:marTop w:val="0"/>
          <w:marBottom w:val="0"/>
          <w:divBdr>
            <w:top w:val="none" w:sz="0" w:space="0" w:color="auto"/>
            <w:left w:val="none" w:sz="0" w:space="0" w:color="auto"/>
            <w:bottom w:val="none" w:sz="0" w:space="0" w:color="auto"/>
            <w:right w:val="none" w:sz="0" w:space="0" w:color="auto"/>
          </w:divBdr>
        </w:div>
      </w:divsChild>
    </w:div>
    <w:div w:id="1027951614">
      <w:bodyDiv w:val="1"/>
      <w:marLeft w:val="0"/>
      <w:marRight w:val="0"/>
      <w:marTop w:val="0"/>
      <w:marBottom w:val="0"/>
      <w:divBdr>
        <w:top w:val="none" w:sz="0" w:space="0" w:color="auto"/>
        <w:left w:val="none" w:sz="0" w:space="0" w:color="auto"/>
        <w:bottom w:val="none" w:sz="0" w:space="0" w:color="auto"/>
        <w:right w:val="none" w:sz="0" w:space="0" w:color="auto"/>
      </w:divBdr>
      <w:divsChild>
        <w:div w:id="618031093">
          <w:marLeft w:val="0"/>
          <w:marRight w:val="0"/>
          <w:marTop w:val="0"/>
          <w:marBottom w:val="0"/>
          <w:divBdr>
            <w:top w:val="none" w:sz="0" w:space="0" w:color="auto"/>
            <w:left w:val="none" w:sz="0" w:space="0" w:color="auto"/>
            <w:bottom w:val="none" w:sz="0" w:space="0" w:color="auto"/>
            <w:right w:val="none" w:sz="0" w:space="0" w:color="auto"/>
          </w:divBdr>
          <w:divsChild>
            <w:div w:id="274288336">
              <w:marLeft w:val="0"/>
              <w:marRight w:val="0"/>
              <w:marTop w:val="0"/>
              <w:marBottom w:val="0"/>
              <w:divBdr>
                <w:top w:val="none" w:sz="0" w:space="0" w:color="auto"/>
                <w:left w:val="none" w:sz="0" w:space="0" w:color="auto"/>
                <w:bottom w:val="none" w:sz="0" w:space="0" w:color="auto"/>
                <w:right w:val="none" w:sz="0" w:space="0" w:color="auto"/>
              </w:divBdr>
              <w:divsChild>
                <w:div w:id="4970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1286">
      <w:bodyDiv w:val="1"/>
      <w:marLeft w:val="0"/>
      <w:marRight w:val="0"/>
      <w:marTop w:val="0"/>
      <w:marBottom w:val="0"/>
      <w:divBdr>
        <w:top w:val="none" w:sz="0" w:space="0" w:color="auto"/>
        <w:left w:val="none" w:sz="0" w:space="0" w:color="auto"/>
        <w:bottom w:val="none" w:sz="0" w:space="0" w:color="auto"/>
        <w:right w:val="none" w:sz="0" w:space="0" w:color="auto"/>
      </w:divBdr>
      <w:divsChild>
        <w:div w:id="327948385">
          <w:marLeft w:val="0"/>
          <w:marRight w:val="0"/>
          <w:marTop w:val="0"/>
          <w:marBottom w:val="0"/>
          <w:divBdr>
            <w:top w:val="none" w:sz="0" w:space="0" w:color="auto"/>
            <w:left w:val="none" w:sz="0" w:space="0" w:color="auto"/>
            <w:bottom w:val="none" w:sz="0" w:space="0" w:color="auto"/>
            <w:right w:val="none" w:sz="0" w:space="0" w:color="auto"/>
          </w:divBdr>
        </w:div>
        <w:div w:id="680085886">
          <w:marLeft w:val="0"/>
          <w:marRight w:val="0"/>
          <w:marTop w:val="0"/>
          <w:marBottom w:val="0"/>
          <w:divBdr>
            <w:top w:val="none" w:sz="0" w:space="0" w:color="auto"/>
            <w:left w:val="none" w:sz="0" w:space="0" w:color="auto"/>
            <w:bottom w:val="none" w:sz="0" w:space="0" w:color="auto"/>
            <w:right w:val="none" w:sz="0" w:space="0" w:color="auto"/>
          </w:divBdr>
        </w:div>
        <w:div w:id="8554658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jones@egov.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Microsoft_Visio_2003-2010_Drawing.vsd"/><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59F764-B719-42D7-BB3B-71D6612F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8D1F9-8EB7-4643-BD54-825A8042D996}">
  <ds:schemaRefs>
    <ds:schemaRef ds:uri="http://schemas.microsoft.com/sharepoint/v3/contenttype/forms"/>
  </ds:schemaRefs>
</ds:datastoreItem>
</file>

<file path=customXml/itemProps3.xml><?xml version="1.0" encoding="utf-8"?>
<ds:datastoreItem xmlns:ds="http://schemas.openxmlformats.org/officeDocument/2006/customXml" ds:itemID="{02C0CDFB-2D0A-4084-941E-0FD57D5C156C}">
  <ds:schemaRefs>
    <ds:schemaRef ds:uri="http://schemas.openxmlformats.org/officeDocument/2006/bibliography"/>
  </ds:schemaRefs>
</ds:datastoreItem>
</file>

<file path=customXml/itemProps4.xml><?xml version="1.0" encoding="utf-8"?>
<ds:datastoreItem xmlns:ds="http://schemas.openxmlformats.org/officeDocument/2006/customXml" ds:itemID="{CA4D2C6B-B958-4369-9F86-47055B9AA89D}">
  <ds:schemaRefs>
    <ds:schemaRef ds:uri="http://schemas.microsoft.com/office/infopath/2007/PartnerControls"/>
    <ds:schemaRef ds:uri="http://purl.org/dc/elements/1.1/"/>
    <ds:schemaRef ds:uri="6b968145-c3f1-41eb-a395-1e34bee79e2d"/>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2ba9052a-6cb2-49c4-a582-c695e6b0ee2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3799</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Alabama Interactive</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Rowzee</dc:creator>
  <cp:keywords/>
  <cp:lastModifiedBy>Khelli Reed</cp:lastModifiedBy>
  <cp:revision>2</cp:revision>
  <dcterms:created xsi:type="dcterms:W3CDTF">2026-03-04T20:48:00Z</dcterms:created>
  <dcterms:modified xsi:type="dcterms:W3CDTF">2026-03-04T20:48:00Z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0x0101002E10CD2D08A194428A19EA10EC334733</vt:lpwstr>
  </property>
  <property fmtid="{D5CDD505-2E9C-101B-9397-08002B2CF9AE}" pid="3" name="GrammarlyDocumentId">
    <vt:lpwstr>53b4abed47956a7935d28e60a56ca554b0cfbbfbda9e481fffef6046cca44273</vt:lpwstr>
  </property>
  <property fmtid="{D5CDD505-2E9C-101B-9397-08002B2CF9AE}" pid="4" name="MediaServiceImageTags">
    <vt:lpwstr/>
  </property>
</Properties>
</file>